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F29C1" w14:textId="3AFB02E1" w:rsidR="00474444" w:rsidRPr="001F6169" w:rsidRDefault="00A52DB6" w:rsidP="00474444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Обязательственное право в современном мире: цифровая трансформация и новые вызовы регулирования</w:t>
      </w:r>
    </w:p>
    <w:p w14:paraId="1181AD5A" w14:textId="77777777" w:rsidR="00474444" w:rsidRPr="00F011E5" w:rsidRDefault="00474444" w:rsidP="00474444">
      <w:pPr>
        <w:spacing w:after="200" w:line="240" w:lineRule="auto"/>
        <w:ind w:firstLine="708"/>
        <w:jc w:val="center"/>
        <w:rPr>
          <w:rFonts w:ascii="Segoe UI" w:hAnsi="Segoe UI"/>
          <w:color w:val="0F1115"/>
          <w:shd w:val="clear" w:color="auto" w:fill="EDF3F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Митрошкин Матвей Вячеславович</w:t>
      </w:r>
    </w:p>
    <w:p w14:paraId="36E4202D" w14:textId="77777777" w:rsidR="00474444" w:rsidRDefault="00474444" w:rsidP="00474444">
      <w:pPr>
        <w:spacing w:after="20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Студент Липецкого государственного педагогического университета им. П. П. Семенова-Тян-Шанского, Липецк, Россия</w:t>
      </w:r>
    </w:p>
    <w:p w14:paraId="68B326F3" w14:textId="77777777" w:rsidR="00474444" w:rsidRPr="00474444" w:rsidRDefault="00474444" w:rsidP="00474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EA38DB" w14:textId="77777777" w:rsidR="00474444" w:rsidRPr="00474444" w:rsidRDefault="00474444" w:rsidP="00474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E344F" w14:textId="3BDA3F0D" w:rsidR="00474444" w:rsidRPr="00A52DB6" w:rsidRDefault="00A52DB6" w:rsidP="00474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Обязательственное право, являющееся одной из фундаментальных подотраслей гражданского права, вступает в новую эру своего развития. К 2026 году мы наблюдаем беспрецедентную трансформацию классических институтов под влиянием цифровизации экономики, развития платформенных отношений и появления принципиально новых объектов гражданского оборота. Как отмечает Е.А. Суханов, профессор и один из ведущих российских цивилистов, система гражданского права развивается по мере усложнения самих социально-экономических отношений как объекта правового </w:t>
      </w:r>
      <w:proofErr w:type="gramStart"/>
      <w:r w:rsidRPr="00A52D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регулирования .</w:t>
      </w:r>
      <w:proofErr w:type="gramEnd"/>
      <w:r w:rsidRPr="00A52D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 настоящей статье рассматриваются </w:t>
      </w:r>
      <w:proofErr w:type="spellStart"/>
      <w:r w:rsidRPr="00A52D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ключественные</w:t>
      </w:r>
      <w:proofErr w:type="spellEnd"/>
      <w:r w:rsidRPr="00A52DB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изменения обязательственного права в современном мире, актуальная судебная практика и новые вызовы, стоящие перед правоприменителями.</w:t>
      </w:r>
    </w:p>
    <w:p w14:paraId="1E29BBF4" w14:textId="77777777" w:rsidR="00474444" w:rsidRPr="00A52DB6" w:rsidRDefault="00474444" w:rsidP="00474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0E930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 современной доктрине все больше внимания уделяется юридическим, а не экономическим критериям выделения предмета гражданско-правового регулирования. По мнению Е.А. Суханова, имущественная обособленность субъектов товарно-денежных отношений выступает ключевым юридическим критерием выделения предмета частного (гражданского) права, охватывающего как имущественные, так и организационные договорные и корпоративные </w:t>
      </w:r>
      <w:proofErr w:type="gramStart"/>
      <w:r w:rsidRPr="00A52DB6">
        <w:rPr>
          <w:color w:val="0F1115"/>
        </w:rPr>
        <w:t>отношения .</w:t>
      </w:r>
      <w:proofErr w:type="gramEnd"/>
      <w:r w:rsidRPr="00A52DB6">
        <w:rPr>
          <w:color w:val="0F1115"/>
        </w:rPr>
        <w:t xml:space="preserve"> Система объектов гражданских прав становится основой разделения гражданского права на отдельные подотрасли — вещное, обязательственное, корпоративное право, интеллектуальные и личные неимущественные права.</w:t>
      </w:r>
    </w:p>
    <w:p w14:paraId="413ECC3A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>Особого внимания заслуживает вопрос о правовой квалификации отношений, связанных с реализацией государственной компетенции органами власти. Как подчеркивает ученый, их отнесение к предмету и методу гражданского права ошибочно, поскольку предметная и содержательная целостность гражданско-правовых отношений дает импульс к их самостоятельному развитию без необходимости включения административно-правовых и иных публичных отношений в гражданско-правовую форму .</w:t>
      </w:r>
    </w:p>
    <w:p w14:paraId="7390490B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Одним из наиболее значимых событий последнего времени стало официальное признание смарт-контрактов как формы гражданско-правовой сделки. С 1 января 2025 года в рамках экспериментального правового режима в сфере цифровых инноваций автоматизированное исполнение условий сделки получило официальное признание как специфическая форма заключения и исполнения </w:t>
      </w:r>
      <w:proofErr w:type="gramStart"/>
      <w:r w:rsidRPr="00A52DB6">
        <w:rPr>
          <w:color w:val="0F1115"/>
        </w:rPr>
        <w:t>договора .</w:t>
      </w:r>
      <w:proofErr w:type="gramEnd"/>
    </w:p>
    <w:p w14:paraId="014F2F79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С практической точки зрения это означает, что если условия сделки записаны в программный код и исполняются автоматически (например, перевод средств при наступлении определенных условий), такой договор считается заключенным в письменной форме, а его исполнение — надлежащим, если не доказано обратное. При этом важным условием является идентификация участников через ЕСИА или аккредитованную систему, а также доступность кода для проверки </w:t>
      </w:r>
      <w:proofErr w:type="gramStart"/>
      <w:r w:rsidRPr="00A52DB6">
        <w:rPr>
          <w:color w:val="0F1115"/>
        </w:rPr>
        <w:t>сторонами .</w:t>
      </w:r>
      <w:proofErr w:type="gramEnd"/>
    </w:p>
    <w:p w14:paraId="4328178E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 2024-2025 годах в Гражданский кодекс были внесены существенные уточнения относительно цифровых прав (ст. 128, 141.1 ГК РФ). Криптовалюта, NFT, токены </w:t>
      </w:r>
      <w:r w:rsidRPr="00A52DB6">
        <w:rPr>
          <w:color w:val="0F1115"/>
        </w:rPr>
        <w:lastRenderedPageBreak/>
        <w:t xml:space="preserve">признаются объектами гражданских прав (цифровыми правами), однако они не являются деньгами в юридическом смысле. Такие активы можно передавать, наследовать, взыскивать в рамках исполнительного производства, однако использование криптовалюты в качестве платежного средства за товары и услуги на территории РФ </w:t>
      </w:r>
      <w:proofErr w:type="gramStart"/>
      <w:r w:rsidRPr="00A52DB6">
        <w:rPr>
          <w:color w:val="0F1115"/>
        </w:rPr>
        <w:t>запрещено .</w:t>
      </w:r>
      <w:proofErr w:type="gramEnd"/>
    </w:p>
    <w:p w14:paraId="741C6EDC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Практическим следствием такого регулирования стало то, что договор купли-продажи NFT теперь подпадает под общие правила о сделках с имущественными правами, а споры о владении токеном рассматриваются как иски об истребовании </w:t>
      </w:r>
      <w:proofErr w:type="gramStart"/>
      <w:r w:rsidRPr="00A52DB6">
        <w:rPr>
          <w:color w:val="0F1115"/>
        </w:rPr>
        <w:t>имущества .</w:t>
      </w:r>
      <w:proofErr w:type="gramEnd"/>
    </w:p>
    <w:p w14:paraId="6B8BAC8D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Важнейшим событием 2026 года станет вступление в силу Федерального закона № 289-ФЗ «О регулировании платформенной экономики в Российской Федерации», которое ожидается 1 октября 2026 </w:t>
      </w:r>
      <w:proofErr w:type="gramStart"/>
      <w:r w:rsidRPr="00A52DB6">
        <w:rPr>
          <w:color w:val="0F1115"/>
        </w:rPr>
        <w:t>года .</w:t>
      </w:r>
      <w:proofErr w:type="gramEnd"/>
      <w:r w:rsidRPr="00A52DB6">
        <w:rPr>
          <w:color w:val="0F1115"/>
        </w:rPr>
        <w:t xml:space="preserve"> Данный закон устанавливает правовые основы функционирования посреднических цифровых платформ, регулируя отношения между операторами платформ, их партнерами и пользователями при продаже товаров, выполнении работ и оказании услуг.</w:t>
      </w:r>
    </w:p>
    <w:p w14:paraId="68678A17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Как отмечает Заместитель Председателя Правительства — Руководитель Аппарата Правительства Дмитрий Григоренко, сегодня доля цифровых платформ в общем объеме розничной торговли составляет 15%, а в 2024 году через них было сделано более 6 миллиардов </w:t>
      </w:r>
      <w:proofErr w:type="gramStart"/>
      <w:r w:rsidRPr="00A52DB6">
        <w:rPr>
          <w:color w:val="0F1115"/>
        </w:rPr>
        <w:t>заказов .</w:t>
      </w:r>
      <w:proofErr w:type="gramEnd"/>
      <w:r w:rsidRPr="00A52DB6">
        <w:rPr>
          <w:color w:val="0F1115"/>
        </w:rPr>
        <w:t xml:space="preserve"> Закон направлен на защиту прав продавцов и покупателей, предоставление гарантий участникам рынка и способствование дальнейшему стабильному развитию платформенной экономики в России.</w:t>
      </w:r>
    </w:p>
    <w:p w14:paraId="672991B5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Закон вводит ключевые понятия, включая цифровую платформу, посредническую цифровую платформу, партнера и пользователя. Устанавливаются требования равного доступа, недискриминации, прозрачности, договорных условий, верификации партнеров, раскрытия информации, а также правила ранжирования результатов поиска и разрешения </w:t>
      </w:r>
      <w:proofErr w:type="gramStart"/>
      <w:r w:rsidRPr="00A52DB6">
        <w:rPr>
          <w:color w:val="0F1115"/>
        </w:rPr>
        <w:t>споров .</w:t>
      </w:r>
      <w:proofErr w:type="gramEnd"/>
    </w:p>
    <w:p w14:paraId="40C7C889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Особого внимания заслуживает закрепленное в законе право партнеров платформ на обратное требование (регресс) к оператору платформы. Например, если продавец возместил ущерб покупателю, но вред был причинен не по его вине, право регресса позволяет обеспечить справедливое распределение ответственности между партнерами и </w:t>
      </w:r>
      <w:proofErr w:type="gramStart"/>
      <w:r w:rsidRPr="00A52DB6">
        <w:rPr>
          <w:color w:val="0F1115"/>
        </w:rPr>
        <w:t>платформой .</w:t>
      </w:r>
      <w:proofErr w:type="gramEnd"/>
    </w:p>
    <w:p w14:paraId="160643CE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 современной правоприменительной практике принцип добросовестности (статья 10 ГК РФ) перестал быть просто декларативной нормой и превратился в действенный инструмент защиты прав участников оборота. Суды все чаще применяют его не только как общее правило, но и как основание для отказа в </w:t>
      </w:r>
      <w:proofErr w:type="gramStart"/>
      <w:r w:rsidRPr="00A52DB6">
        <w:rPr>
          <w:color w:val="0F1115"/>
        </w:rPr>
        <w:t>иске .</w:t>
      </w:r>
      <w:proofErr w:type="gramEnd"/>
    </w:p>
    <w:p w14:paraId="0964032A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Показательны примеры из практики 2025 года: банк не смог взыскать неустойку, поскольку скрыл реальную процентную ставку — суд указал на недобросовестность кредитора; покупатель, знавший о дефекте товара и не сообщивший об этом продавцу, а впоследствии потребовавший возврата, получил отказ в удовлетворении </w:t>
      </w:r>
      <w:proofErr w:type="gramStart"/>
      <w:r w:rsidRPr="00A52DB6">
        <w:rPr>
          <w:color w:val="0F1115"/>
        </w:rPr>
        <w:t>иска .</w:t>
      </w:r>
      <w:proofErr w:type="gramEnd"/>
      <w:r w:rsidRPr="00A52DB6">
        <w:rPr>
          <w:color w:val="0F1115"/>
        </w:rPr>
        <w:t xml:space="preserve"> Это формирует важную рекомендацию для участников оборота: при заключении и исполнении договоров необходимо фиксировать все коммуникации, чтобы иметь возможность доказать свою добросовестность.</w:t>
      </w:r>
    </w:p>
    <w:p w14:paraId="5CDA271E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Как отмечается в материалах семинара «Договоры, сделки, обязательства в 2026 году», современное правоприменение требует четкого понимания пределов осуществления гражданских прав в свете разъяснений Верховного Суда РФ относительно критериев одобряемого законом поведения и усмотрения </w:t>
      </w:r>
      <w:proofErr w:type="gramStart"/>
      <w:r w:rsidRPr="00A52DB6">
        <w:rPr>
          <w:color w:val="0F1115"/>
        </w:rPr>
        <w:t>суда .</w:t>
      </w:r>
      <w:proofErr w:type="gramEnd"/>
    </w:p>
    <w:p w14:paraId="44BDAFFD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lastRenderedPageBreak/>
        <w:t>С 1 июня 2025 года вступили в силу существенные поправки в главу 60 ГК РФ. Теперь лицо, получившее имущество без правового основания, обязано вернуть не только само имущество, но и доходы, извлеченные из него (например, арендную плату за незаконно занимаемое помещение</w:t>
      </w:r>
      <w:proofErr w:type="gramStart"/>
      <w:r w:rsidRPr="00A52DB6">
        <w:rPr>
          <w:color w:val="0F1115"/>
        </w:rPr>
        <w:t>) .</w:t>
      </w:r>
      <w:proofErr w:type="gramEnd"/>
    </w:p>
    <w:p w14:paraId="3C1550C1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>Важным изменением стало и правило о сроках: если обогащение произошло по ошибке (например, двойной платеж), требование о возврате может быть предъявлено в течение трех лет с момента обнаружения ошибки, а не с момента перевода средств. Это особенно актуально для расчетов между юридическими лицами и при работе с онлайн-</w:t>
      </w:r>
      <w:proofErr w:type="gramStart"/>
      <w:r w:rsidRPr="00A52DB6">
        <w:rPr>
          <w:color w:val="0F1115"/>
        </w:rPr>
        <w:t>платежами .</w:t>
      </w:r>
      <w:proofErr w:type="gramEnd"/>
    </w:p>
    <w:p w14:paraId="059BCA66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Одним из наиболее сложных теоретических вопросов, стоящих перед современной доктриной обязательственного права, является проблема сохранения фидуциарных обязанностей в условиях внедрения систем искусственного интеллекта. В зарубежной литературе активно обсуждается концепция «цифрового </w:t>
      </w:r>
      <w:proofErr w:type="spellStart"/>
      <w:r w:rsidRPr="00A52DB6">
        <w:rPr>
          <w:color w:val="0F1115"/>
        </w:rPr>
        <w:t>фидуциара</w:t>
      </w:r>
      <w:proofErr w:type="spellEnd"/>
      <w:r w:rsidRPr="00A52DB6">
        <w:rPr>
          <w:color w:val="0F1115"/>
        </w:rPr>
        <w:t xml:space="preserve">» — возможность сохранения модели доверительных отношений при автоматизации принятия </w:t>
      </w:r>
      <w:proofErr w:type="gramStart"/>
      <w:r w:rsidRPr="00A52DB6">
        <w:rPr>
          <w:color w:val="0F1115"/>
        </w:rPr>
        <w:t>решений .</w:t>
      </w:r>
      <w:proofErr w:type="gramEnd"/>
    </w:p>
    <w:p w14:paraId="44B04F18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Традиционно фидуциарная обязанность включала два компонента: </w:t>
      </w:r>
      <w:proofErr w:type="spellStart"/>
      <w:r w:rsidRPr="00A52DB6">
        <w:rPr>
          <w:color w:val="0F1115"/>
        </w:rPr>
        <w:t>duty</w:t>
      </w:r>
      <w:proofErr w:type="spellEnd"/>
      <w:r w:rsidRPr="00A52DB6">
        <w:rPr>
          <w:color w:val="0F1115"/>
        </w:rPr>
        <w:t xml:space="preserve"> </w:t>
      </w:r>
      <w:proofErr w:type="spellStart"/>
      <w:r w:rsidRPr="00A52DB6">
        <w:rPr>
          <w:color w:val="0F1115"/>
        </w:rPr>
        <w:t>of</w:t>
      </w:r>
      <w:proofErr w:type="spellEnd"/>
      <w:r w:rsidRPr="00A52DB6">
        <w:rPr>
          <w:color w:val="0F1115"/>
        </w:rPr>
        <w:t xml:space="preserve"> </w:t>
      </w:r>
      <w:proofErr w:type="spellStart"/>
      <w:r w:rsidRPr="00A52DB6">
        <w:rPr>
          <w:color w:val="0F1115"/>
        </w:rPr>
        <w:t>care</w:t>
      </w:r>
      <w:proofErr w:type="spellEnd"/>
      <w:r w:rsidRPr="00A52DB6">
        <w:rPr>
          <w:color w:val="0F1115"/>
        </w:rPr>
        <w:t xml:space="preserve"> (обязанность проявлять должную заботу и компетентность) и </w:t>
      </w:r>
      <w:proofErr w:type="spellStart"/>
      <w:r w:rsidRPr="00A52DB6">
        <w:rPr>
          <w:color w:val="0F1115"/>
        </w:rPr>
        <w:t>duty</w:t>
      </w:r>
      <w:proofErr w:type="spellEnd"/>
      <w:r w:rsidRPr="00A52DB6">
        <w:rPr>
          <w:color w:val="0F1115"/>
        </w:rPr>
        <w:t xml:space="preserve"> </w:t>
      </w:r>
      <w:proofErr w:type="spellStart"/>
      <w:r w:rsidRPr="00A52DB6">
        <w:rPr>
          <w:color w:val="0F1115"/>
        </w:rPr>
        <w:t>of</w:t>
      </w:r>
      <w:proofErr w:type="spellEnd"/>
      <w:r w:rsidRPr="00A52DB6">
        <w:rPr>
          <w:color w:val="0F1115"/>
        </w:rPr>
        <w:t xml:space="preserve"> </w:t>
      </w:r>
      <w:proofErr w:type="spellStart"/>
      <w:r w:rsidRPr="00A52DB6">
        <w:rPr>
          <w:color w:val="0F1115"/>
        </w:rPr>
        <w:t>loyalty</w:t>
      </w:r>
      <w:proofErr w:type="spellEnd"/>
      <w:r w:rsidRPr="00A52DB6">
        <w:rPr>
          <w:color w:val="0F1115"/>
        </w:rPr>
        <w:t xml:space="preserve"> (обязанность действовать в интересах клиента, ставя их выше собственных). Если обязанность заботы может быть измерена через качество исполнения, то обязанность лояльности неразрывно связана с человеческим сознанием и </w:t>
      </w:r>
      <w:proofErr w:type="gramStart"/>
      <w:r w:rsidRPr="00A52DB6">
        <w:rPr>
          <w:color w:val="0F1115"/>
        </w:rPr>
        <w:t>совестью .</w:t>
      </w:r>
      <w:proofErr w:type="gramEnd"/>
    </w:p>
    <w:p w14:paraId="3AD733B8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>При переходе от модели «ИИ как инструмент» к модели «ИИ как агент», когда система инициирует, принимает решения и исполняет действия без участия человека, возникает так называемый «фидуциарный разрыв» (</w:t>
      </w:r>
      <w:proofErr w:type="spellStart"/>
      <w:r w:rsidRPr="00A52DB6">
        <w:rPr>
          <w:color w:val="0F1115"/>
        </w:rPr>
        <w:t>fiduciary</w:t>
      </w:r>
      <w:proofErr w:type="spellEnd"/>
      <w:r w:rsidRPr="00A52DB6">
        <w:rPr>
          <w:color w:val="0F1115"/>
        </w:rPr>
        <w:t xml:space="preserve"> </w:t>
      </w:r>
      <w:proofErr w:type="spellStart"/>
      <w:r w:rsidRPr="00A52DB6">
        <w:rPr>
          <w:color w:val="0F1115"/>
        </w:rPr>
        <w:t>gap</w:t>
      </w:r>
      <w:proofErr w:type="spellEnd"/>
      <w:r w:rsidRPr="00A52DB6">
        <w:rPr>
          <w:color w:val="0F1115"/>
        </w:rPr>
        <w:t xml:space="preserve">). Продукт не обладает совестью, </w:t>
      </w:r>
      <w:proofErr w:type="gramStart"/>
      <w:r w:rsidRPr="00A52DB6">
        <w:rPr>
          <w:color w:val="0F1115"/>
        </w:rPr>
        <w:t>и</w:t>
      </w:r>
      <w:proofErr w:type="gramEnd"/>
      <w:r w:rsidRPr="00A52DB6">
        <w:rPr>
          <w:color w:val="0F1115"/>
        </w:rPr>
        <w:t xml:space="preserve"> если услуги, ранее предоставлявшиеся юристом, врачом или финансовым консультантом, начинают исходить непосредственно от программного продукта, возникает вопрос: на ком лежит обязанность действовать в наилучших интересах клиента? </w:t>
      </w:r>
    </w:p>
    <w:p w14:paraId="6CE7F82D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Возможными путями решения видятся либо концепция «цифрового </w:t>
      </w:r>
      <w:proofErr w:type="spellStart"/>
      <w:r w:rsidRPr="00A52DB6">
        <w:rPr>
          <w:color w:val="0F1115"/>
        </w:rPr>
        <w:t>фидуциара</w:t>
      </w:r>
      <w:proofErr w:type="spellEnd"/>
      <w:r w:rsidRPr="00A52DB6">
        <w:rPr>
          <w:color w:val="0F1115"/>
        </w:rPr>
        <w:t xml:space="preserve">», предполагающая программирование алгоритмов с учетом требований лояльности как жестких ограничений, либо адаптация законодательства о защите прав потребителей и ответственности за качество продукции с расширением понятия дефекта, включающего не только технические сбои, но и дизайн, предсказуемо приводящий к конфликту </w:t>
      </w:r>
      <w:proofErr w:type="gramStart"/>
      <w:r w:rsidRPr="00A52DB6">
        <w:rPr>
          <w:color w:val="0F1115"/>
        </w:rPr>
        <w:t>интересов .</w:t>
      </w:r>
      <w:proofErr w:type="gramEnd"/>
    </w:p>
    <w:p w14:paraId="6B1C74AB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Реформа обязательственного права, проводимая в последние годы, затронула фундаментальные положения Гражданского кодекса. Как отмечает С.В. </w:t>
      </w:r>
      <w:proofErr w:type="spellStart"/>
      <w:r w:rsidRPr="00A52DB6">
        <w:rPr>
          <w:color w:val="0F1115"/>
        </w:rPr>
        <w:t>Сарбаш</w:t>
      </w:r>
      <w:proofErr w:type="spellEnd"/>
      <w:r w:rsidRPr="00A52DB6">
        <w:rPr>
          <w:color w:val="0F1115"/>
        </w:rPr>
        <w:t xml:space="preserve">, судья Высшего Арбитражного Суда РФ в отставке, новеллы касаются понятия обязательства (новая редакция ст. 307 ГК РФ), появления конструкций альтернативных и факультативных обязательств (ст. 308.1-308.2 ГК РФ), а также </w:t>
      </w:r>
      <w:proofErr w:type="spellStart"/>
      <w:r w:rsidRPr="00A52DB6">
        <w:rPr>
          <w:color w:val="0F1115"/>
        </w:rPr>
        <w:t>астрента</w:t>
      </w:r>
      <w:proofErr w:type="spellEnd"/>
      <w:r w:rsidRPr="00A52DB6">
        <w:rPr>
          <w:color w:val="0F1115"/>
        </w:rPr>
        <w:t xml:space="preserve"> как способа защиты прав кредитора (ст. 308.3 ГК РФ) .</w:t>
      </w:r>
    </w:p>
    <w:p w14:paraId="3DB4A66D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Значительные изменения произошли и в регулировании исполнения обязательств: появилась возможность заключения соглашения кредиторов о порядке удовлетворения их требований к должнику, уточнены правила исполнения обязательства третьим лицом, сроков и места исполнения, а также встречного </w:t>
      </w:r>
      <w:proofErr w:type="gramStart"/>
      <w:r w:rsidRPr="00A52DB6">
        <w:rPr>
          <w:color w:val="0F1115"/>
        </w:rPr>
        <w:t>исполнения .</w:t>
      </w:r>
      <w:proofErr w:type="gramEnd"/>
    </w:p>
    <w:p w14:paraId="5661896D" w14:textId="77777777" w:rsidR="00A52DB6" w:rsidRPr="00A52DB6" w:rsidRDefault="00A52DB6" w:rsidP="00A52DB6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A52DB6">
        <w:rPr>
          <w:color w:val="0F1115"/>
        </w:rPr>
        <w:t xml:space="preserve">В.В. </w:t>
      </w:r>
      <w:proofErr w:type="spellStart"/>
      <w:r w:rsidRPr="00A52DB6">
        <w:rPr>
          <w:color w:val="0F1115"/>
        </w:rPr>
        <w:t>Витрянский</w:t>
      </w:r>
      <w:proofErr w:type="spellEnd"/>
      <w:r w:rsidRPr="00A52DB6">
        <w:rPr>
          <w:color w:val="0F1115"/>
        </w:rPr>
        <w:t xml:space="preserve">, один из ключевых участников реформы гражданского законодательства, подчеркивает необходимость осмысления принятых новелл и анализа формирующейся судебной </w:t>
      </w:r>
      <w:proofErr w:type="gramStart"/>
      <w:r w:rsidRPr="00A52DB6">
        <w:rPr>
          <w:color w:val="0F1115"/>
        </w:rPr>
        <w:t>практики .</w:t>
      </w:r>
      <w:proofErr w:type="gramEnd"/>
      <w:r w:rsidRPr="00A52DB6">
        <w:rPr>
          <w:color w:val="0F1115"/>
        </w:rPr>
        <w:t xml:space="preserve"> Это особенно важно в контексте постоянного обновления законодательства и появления новых договорных конструкций.</w:t>
      </w:r>
    </w:p>
    <w:p w14:paraId="2B7981CE" w14:textId="77777777" w:rsidR="00A52DB6" w:rsidRPr="00A52DB6" w:rsidRDefault="00A52DB6" w:rsidP="00A52D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Обязательственное право в современном мире представляет собой динамично развивающуюся систему, адаптирующуюся к вызовам цифровой экономики и новым формам социально-экономических отношений. Ключевыми тенденциями 2026 года являются:</w:t>
      </w:r>
    </w:p>
    <w:p w14:paraId="6F75978C" w14:textId="77777777" w:rsidR="00A52DB6" w:rsidRPr="00A52DB6" w:rsidRDefault="00A52DB6" w:rsidP="00A52D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Цифровизация обязательственных отношений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признание смарт-контрактов, формирование правового режима цифровых активов, регулирование платформенной экономики.</w:t>
      </w:r>
    </w:p>
    <w:p w14:paraId="0D43BC4A" w14:textId="77777777" w:rsidR="00A52DB6" w:rsidRPr="00A52DB6" w:rsidRDefault="00A52DB6" w:rsidP="00A52D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Усиление роли принципа добросовестности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превращение его из декларативной нормы в реальный инструмент судебной защиты.</w:t>
      </w:r>
    </w:p>
    <w:p w14:paraId="7A9B220B" w14:textId="77777777" w:rsidR="00A52DB6" w:rsidRPr="00A52DB6" w:rsidRDefault="00A52DB6" w:rsidP="00A52D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Совершенствование инструментов обеспечения исполнения обязательств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развитие конструкций </w:t>
      </w:r>
      <w:proofErr w:type="spellStart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астрента</w:t>
      </w:r>
      <w:proofErr w:type="spellEnd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независимой гарантии, обеспечительного платежа.</w:t>
      </w:r>
    </w:p>
    <w:p w14:paraId="2C7604EC" w14:textId="77777777" w:rsidR="00A52DB6" w:rsidRPr="00A52DB6" w:rsidRDefault="00A52DB6" w:rsidP="00A52DB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Поиск баланса между традиционными подходами и инновациями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сохранение фундаментальных принципов обязательственного права при адаптации к новым технологическим реалиям.</w:t>
      </w:r>
    </w:p>
    <w:p w14:paraId="46A78E34" w14:textId="77777777" w:rsidR="00A52DB6" w:rsidRPr="00A52DB6" w:rsidRDefault="00A52DB6" w:rsidP="00A52D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отмечается в научной литературе, предмет гражданского права определим только по субъективному критерию, а его система строится в зависимости от объектов гражданских прав, составляя различные взаимосвязанные гражданско-правовые режимы вещных, обязательственных, корпоративных и интеллектуальных прав . Это понимание позволяет сохранять концептуальную целостность обязательственного права даже в условиях стремительной цифровой трансформации.</w:t>
      </w:r>
    </w:p>
    <w:p w14:paraId="25072AC6" w14:textId="77777777" w:rsidR="00A52DB6" w:rsidRPr="00A52DB6" w:rsidRDefault="00A52DB6" w:rsidP="00A52D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участников гражданского оборота важно учитывать современные тенденции: при работе с цифровыми активами оформлять соглашения в письменной форме даже при использовании </w:t>
      </w:r>
      <w:proofErr w:type="spellStart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блокчейна</w:t>
      </w:r>
      <w:proofErr w:type="spellEnd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фиксировать все доказательства исполнения обязательств, особенно в онлайн-среде, и внимательно относиться к соблюдению принципа добросовестности на всех этапах развития обязательственного правоотношения.</w:t>
      </w:r>
    </w:p>
    <w:p w14:paraId="06EBCDBB" w14:textId="77777777" w:rsidR="00A52DB6" w:rsidRPr="00A52DB6" w:rsidRDefault="00A52DB6" w:rsidP="00A52DB6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литературы:</w:t>
      </w:r>
    </w:p>
    <w:p w14:paraId="1F4037A8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Реформа Гражданского Кодекса РФ по вопросам обязательственного и вещного права: программа повышения квалификации / В.В. </w:t>
      </w:r>
      <w:proofErr w:type="spellStart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Витрянский</w:t>
      </w:r>
      <w:proofErr w:type="spellEnd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С.В. </w:t>
      </w:r>
      <w:proofErr w:type="spellStart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Сарбаш</w:t>
      </w:r>
      <w:proofErr w:type="spellEnd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[и др.]. — 2026. </w:t>
      </w:r>
    </w:p>
    <w:p w14:paraId="7DA3EEC3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Гражданское право в 2026 году: цифровизация, добросовестность и новые вызовы для бизнеса и граждан // HARANT. — 2026. — 26 января. </w:t>
      </w:r>
    </w:p>
    <w:p w14:paraId="150B9AAA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Суханов Е.А. О юридических критериях предмета и системы гражданского права // Журнал российского права. — 2026. — Т. 30, № 1. — С. 27-36. — DOI: 10.61205/jrp.2026.1.3. </w:t>
      </w:r>
    </w:p>
    <w:p w14:paraId="79392DEB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The Fiduciary in the Machine // </w:t>
      </w:r>
      <w:proofErr w:type="spellStart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ZwillGen</w:t>
      </w:r>
      <w:proofErr w:type="spellEnd"/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 xml:space="preserve">. — 2026. — 8 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января</w:t>
      </w: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. </w:t>
      </w:r>
    </w:p>
    <w:p w14:paraId="21A3791F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Federal Law No. 289-FZ On Certain Issues of Regulation of the Platform Economy in the Russian Federation (in terms of regulating the activities of digital platforms) enters into force // Digital Policy Alert. — 2026. </w:t>
      </w:r>
    </w:p>
    <w:p w14:paraId="176A71B5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Договоры, сделки, обязательства в 2026 году: последние изменения законодательства, новое в правоприменительной и судебной практике: программа семинара / М.Л. Башкатов, А.А. Маковская, Л.Ю. Михеева [и др.] // </w:t>
      </w:r>
      <w:hyperlink r:id="rId5" w:tgtFrame="_blank" w:history="1">
        <w:r w:rsidRPr="00A52DB6">
          <w:rPr>
            <w:rFonts w:ascii="Times New Roman" w:eastAsia="Times New Roman" w:hAnsi="Times New Roman" w:cs="Times New Roman"/>
            <w:color w:val="3964FE"/>
            <w:sz w:val="24"/>
            <w:szCs w:val="24"/>
            <w:u w:val="single"/>
            <w:bdr w:val="single" w:sz="12" w:space="0" w:color="auto" w:frame="1"/>
            <w:lang w:eastAsia="ru-RU"/>
          </w:rPr>
          <w:t>Zakon.ru</w:t>
        </w:r>
      </w:hyperlink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 — 2026. </w:t>
      </w:r>
    </w:p>
    <w:p w14:paraId="6998DF41" w14:textId="77777777" w:rsidR="00A52DB6" w:rsidRPr="00A52DB6" w:rsidRDefault="00A52DB6" w:rsidP="00A52DB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2DB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Дмитрий Григоренко: Госдума поддержала правительственный законопроект о регулировании цифровых платформ в России // Правительство России. — 2026.</w:t>
      </w:r>
    </w:p>
    <w:p w14:paraId="421C3FC8" w14:textId="77777777" w:rsidR="00474444" w:rsidRPr="00474444" w:rsidRDefault="00474444" w:rsidP="00474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0C7A1B7" w14:textId="77777777" w:rsidR="003D6816" w:rsidRDefault="003D6816" w:rsidP="00474444"/>
    <w:sectPr w:rsidR="003D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auto"/>
    <w:pitch w:val="variable"/>
    <w:sig w:usb0="800002A7" w:usb1="5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57CE8"/>
    <w:multiLevelType w:val="multilevel"/>
    <w:tmpl w:val="3A6A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1569EC"/>
    <w:multiLevelType w:val="multilevel"/>
    <w:tmpl w:val="9C1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44"/>
    <w:rsid w:val="003D6816"/>
    <w:rsid w:val="00474444"/>
    <w:rsid w:val="00A52DB6"/>
    <w:rsid w:val="00E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9D74"/>
  <w15:chartTrackingRefBased/>
  <w15:docId w15:val="{71BD1C26-F515-4141-8BB3-3EC5E441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5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52DB6"/>
    <w:rPr>
      <w:b/>
      <w:bCs/>
    </w:rPr>
  </w:style>
  <w:style w:type="character" w:styleId="a4">
    <w:name w:val="Hyperlink"/>
    <w:basedOn w:val="a0"/>
    <w:uiPriority w:val="99"/>
    <w:semiHidden/>
    <w:unhideWhenUsed/>
    <w:rsid w:val="00A52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1838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Адольф Гитлер</dc:creator>
  <cp:keywords/>
  <dc:description/>
  <cp:lastModifiedBy>Адольф Гитлер</cp:lastModifiedBy>
  <cp:revision>2</cp:revision>
  <dcterms:created xsi:type="dcterms:W3CDTF">2026-03-02T18:06:00Z</dcterms:created>
  <dcterms:modified xsi:type="dcterms:W3CDTF">2026-03-02T18:06:00Z</dcterms:modified>
</cp:coreProperties>
</file>