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C3D3" w14:textId="34F3FFD7" w:rsidR="00EC60E2" w:rsidRPr="006317CD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Характеристика эмоциональной устойчивости, доминантности и нормативности поведения сотрудников организации (на примере ООО «Комфорт»)</w:t>
      </w:r>
    </w:p>
    <w:p w14:paraId="23C9CFA1" w14:textId="77777777" w:rsidR="006317CD" w:rsidRPr="006317CD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Богатко</w:t>
      </w:r>
      <w:proofErr w:type="spellEnd"/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Татьяна Николаевна</w:t>
      </w:r>
    </w:p>
    <w:p w14:paraId="0E2A248C" w14:textId="55B1337D" w:rsidR="006317CD" w:rsidRPr="00EC60E2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Магистрант 2 года обучения</w:t>
      </w: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направлению 37.04.01 «Психология» Ульяновского государственного университета, </w:t>
      </w:r>
      <w:r w:rsidR="00F959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Ульяновск, 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</w:t>
      </w:r>
    </w:p>
    <w:p w14:paraId="040F4789" w14:textId="01C8D466" w:rsidR="00EC60E2" w:rsidRPr="006317CD" w:rsidRDefault="00EC60E2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28F90E" w14:textId="57DF2653" w:rsidR="006317CD" w:rsidRPr="006317CD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Седунова Анастасия Сергеевна</w:t>
      </w:r>
    </w:p>
    <w:p w14:paraId="4E0A9F75" w14:textId="528921C6" w:rsidR="006317CD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Доцент кафедры психологии и педагогики Федерального государственного бюджетного образовательного учреждения высшего образования «Ульяновский государственный университет», г. Ульяновск, РФ;</w:t>
      </w:r>
    </w:p>
    <w:p w14:paraId="71E17EDF" w14:textId="72CD17F6" w:rsidR="006317CD" w:rsidRPr="00EC60E2" w:rsidRDefault="006317CD" w:rsidP="006317C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Факультет гуманитарных наук и социальных технологий</w:t>
      </w:r>
    </w:p>
    <w:p w14:paraId="26CE2914" w14:textId="77777777" w:rsidR="006317CD" w:rsidRDefault="006317CD" w:rsidP="006317CD">
      <w:pPr>
        <w:spacing w:line="240" w:lineRule="auto"/>
      </w:pPr>
    </w:p>
    <w:p w14:paraId="3B9A5D4B" w14:textId="77777777" w:rsidR="006317CD" w:rsidRPr="00EC60E2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Ключевые слова</w:t>
      </w:r>
      <w:r w:rsidRPr="00EC60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эмоциональная устойчивость, доминантность, нормативность поведения, личностные характеристики сотрудников, организационная психология, конфликтное поведение, опросник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5AD8C8C" w14:textId="77777777" w:rsidR="00EC60E2" w:rsidRDefault="00EC60E2" w:rsidP="006317CD">
      <w:pPr>
        <w:spacing w:line="240" w:lineRule="auto"/>
      </w:pPr>
    </w:p>
    <w:p w14:paraId="7DF5C9F2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color w:val="000000"/>
          <w:sz w:val="24"/>
          <w:szCs w:val="24"/>
        </w:rPr>
        <w:t>Аннотация: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статье представлен теоретический анализ проблемы эмоциональной устойчивости, доминантности и нормативности поведения как значимых личностных предикторов эффективного профессионального взаимодействия. Приводятся результаты эмпирического исследования, направленного на изучение выраженности данных характеристик у сотрудников торговой компании. Эмпирическую базу исследования составили 50 респондентов – работников ООО «Комфорт» (70% женщин, 30% мужчин) в возрасте от 27 до 55 лет (средний возраст 37,4 года). В качестве основного психодиагностического инструментария использовался 16-факторный личностный опросник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(16PF, форма А). В результате проведённого исследования установлено, что у большинства сотрудников преобладают средние и высокие уровни эмоциональной устойчивости (средний балл 5,9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стенов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) и нормативности поведения (средний балл 6,2 стена), тогда как уровень доминантности выражен умеренно (5,1 стена). Выявлены значимые корреляции исследуемых личностных характеристик с предпочитаемыми стратегиями поведения в конфликте (сотрудничество, соперничество, избегание). Полученные данные могут быть использованы службой персонала для оптимизации подбора кадров, формирования рабочих групп и профилактики деструктивных конфликтов.</w:t>
      </w:r>
    </w:p>
    <w:p w14:paraId="5951491D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402F06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В современной организационной среде требования к личностным ресурсам сотрудников постоянно возрастают. Эмоциональная устойчивость, доминантность и нормативность поведения рассматриваются как ключевые характеристики, определяющие не только индивидуальную эффективность работника, но и социально-психологический климат в коллективе в целом [5; 7]. Особую актуальность эти качества приобретают в сферах, связанных с интенсивными межличностными контактами (торговля, обслуживание, управление), где от способности сотрудника сохранять самообладание, отстаивать свою позицию и соблюдать профессиональные нормы зависит успех всей организации [2; 9].</w:t>
      </w:r>
    </w:p>
    <w:p w14:paraId="4F5FBE1F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Несмотря на очевидную значимость данных характеристик для организационной психологии, комплексных исследований, направленных на одновременное изучение эмоциональной устойчивости, доминантности и нормативности поведения сотрудников реальных предприятий, недостаточно. Настоящая работа призвана восполнить этот пробел на примере торговой компании ООО «Комфорт».</w:t>
      </w:r>
    </w:p>
    <w:p w14:paraId="6F0684D4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Исследуемые в данной работе личностные характеристики имеют давнюю традицию изучения в рамках дифференциальной психологии и психологии личности. Их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операционализация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диагностика во многом обязаны развитию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факторно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-аналитического подхода и теории черт, основоположниками которой выступили Г.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Олпорт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Г.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Айзенк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[4].</w:t>
      </w:r>
    </w:p>
    <w:p w14:paraId="3EDB22FF" w14:textId="236DF2D2" w:rsidR="00EC60E2" w:rsidRPr="00EC60E2" w:rsidRDefault="00F84276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lastRenderedPageBreak/>
        <w:t>По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нятие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эмоц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ль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й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усто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йч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ивости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зр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аб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ат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ыв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алос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ь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мног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им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авто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ка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отечествен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й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та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к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 в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иностр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ан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й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пс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ихолог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Т. </w:t>
      </w:r>
      <w:proofErr w:type="spellStart"/>
      <w:proofErr w:type="gram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Ри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бо</w:t>
      </w:r>
      <w:proofErr w:type="spellEnd"/>
      <w:proofErr w:type="gram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(1899)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од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ни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из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пе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рв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ых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об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рати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л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вн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им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ан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ие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на феномен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усто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йч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ивости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эмоц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ль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ны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bookmarkStart w:id="0" w:name="_Hlk225705608"/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со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стоя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ни</w:t>
      </w:r>
      <w:r w:rsidRPr="00664B4D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 w:rsidRPr="00664B4D">
        <w:rPr>
          <w:rFonts w:ascii="Times New Roman" w:eastAsia="Calibri" w:hAnsi="Times New Roman" w:cs="Times New Roman"/>
          <w:spacing w:val="-4"/>
          <w:sz w:val="24"/>
          <w:szCs w:val="24"/>
        </w:rPr>
        <w:t>й</w:t>
      </w:r>
      <w:bookmarkEnd w:id="0"/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. В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за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ру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proofErr w:type="gram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бе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жной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пс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ихолог</w:t>
      </w:r>
      <w:r w:rsidRPr="00F84276">
        <w:rPr>
          <w:rFonts w:ascii="Times New Roman" w:eastAsia="Times New Roman" w:hAnsi="Times New Roman" w:cs="Times New Roman"/>
          <w:color w:val="FFFFFF" w:themeColor="background1"/>
          <w:spacing w:val="-25"/>
          <w:w w:val="70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ии</w:t>
      </w:r>
      <w:proofErr w:type="spellEnd"/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значительный вклад в изучение этого конструкта внесли Дж.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Гилфорд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рассматривавший эмоциональную неустойчивость как легкую возбудимость и колебание настроений, а также П.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Фресс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(1975), связывавший эмоциональную неустойчивость с чувствительностью человека к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эмоциогенным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ситуациям [1]</w:t>
      </w:r>
      <w:r w:rsidR="00EC60E2">
        <w:t>.</w:t>
      </w:r>
      <w: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рамках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факторно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-аналитического подхода Р.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соавторами (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Cattell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Eber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Tatsuoka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1970) ввел понятие «аффективной устойчивости» (фактор C), под которой понимается отсутствие невротических симптомов, спокойствие, устойчивость интересов [1]. В отечественной психологии проблему эмоциональной устойчивости исследовали Л.М.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Аболин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(1987), М.И. Дьяченко и В.А. Пономаренко (1990), определявшие её как интегративное свойство личности, обеспечивающее успешное достижение цели деятельности в сложной эмоциональной обстановке [5]. В.А.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Плахтиенко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Ю.М. Блудов (1985) связывали эмоциональную устойчивость с надежностью деятельности, понимая её как свойство темперамента, позволяющее надежно выполнять целевые задачи. Л.М.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Аболин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предложил рассматривать эмоциональную устойчивость как функциональную систему эмоционального регулирования деятельности, где гармоническое взаимодействие эмоциональных механизмов способствует успешному достижению поставленной цели [1].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Важно отметить, что разные авторы вкладывали в понятие эмоциональной устойчивости неодинаковое содержание</w:t>
      </w:r>
      <w:r w:rsid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="00D14EF4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14EF4"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>трактуется либо как черта темперамента</w:t>
      </w:r>
      <w:r w:rsid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14EF4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[1]</w:t>
      </w:r>
      <w:r w:rsidR="00D14EF4"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либо как интегральное личностное качество, </w:t>
      </w:r>
      <w:r w:rsidR="00D14EF4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[1]</w:t>
      </w:r>
      <w:r w:rsidR="00D14EF4"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либо как механизм управления эмоциями</w:t>
      </w:r>
      <w:r w:rsid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В контексте организационной психологии наиболее востребованным является понимание эмоциональной устойчивости как способности сотрудника сохранять самообладание, выдержку и хладнокровие в стрессовых и конфликтных ситуациях, что обеспечивает надежность профессиональной деятельности</w:t>
      </w:r>
      <w:r w:rsid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14EF4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[1]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A88831E" w14:textId="02C65FC2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Понятие доминантности как личностной черты также получило развитие в рамках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факторно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-аналитического подхода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его 16-факторной модели личности доминантность представлена фактором E («подчиненность – доминантность»). Согласно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Кеттеллу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, высокие оценки по этому фактору соответствуют самоутверждению, независимости, агрессивности, упрямству, склонности руководствоваться собственными правилами поведения и не признавать авторитетов [9]. Низкие оценки, напротив, характеризуют человека как покорного, уступчивого, зависимого, конформного.</w:t>
      </w:r>
      <w:r w:rsidR="00F84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Исследования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показали, что фактор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«доминантность»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не очень существенно коррелирует с достижениями лидерства, однако связан с социальным статусом и выше у лидеров, чем у последователей. Существуют предположения, что оценки по этому фактору меняются с возрастом и зависят от пола испытуемого [9].</w:t>
      </w:r>
      <w:r w:rsidR="00F84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В дифференциальной психологии доминантность понимается как стремление и способность занимать в группе главенствующее положение, оказывать преобладающее влияние на других, диктовать свою волю [2]. В организационном контексте доминантность может проявляться как конструктивно (лидерские качества, способность брать на себя ответственность), так и деструктивно (авторитарность, подавление инициативы подчиненных, конфликтность). Поэтому диагностика уровня доминантности сотрудников имеет важное практическое значение для формирования эффективных управленческих команд и профилактики деструктивных конфликтов.</w:t>
      </w:r>
    </w:p>
    <w:p w14:paraId="7E4C1C54" w14:textId="6C76579B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Нормативность поведения как личностная характеристика также была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операционализирована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Кеттеллом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рамках его 16-факторной модели. Фактор G («низкая – высокая нормативность поведения») отражает степень принятия личностью социальных норм и правил. Высокие показатели по этому фактору характеризуют человека как ответственного, добросовестного, дисциплинированного, с сильным контролем своих эмоций и поведения, ориентированного на социальное одобрение и выполнение взятых на себя обязательств [2]. Низкие показатели, напротив, свидетельствуют о склонности к игнорированию обязанностей, слабом самоконтроле, подверженности чувствам и сиюминутным желаниям.</w:t>
      </w:r>
      <w:r w:rsidR="00F842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более широком контексте теории черт, восходящей к работам Г.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Олпорта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(1937), личностные черты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понимаются как стабильные во времени и относительно постоянные в различных ситуациях психологические характеристики, оказывающие влияние на чувства, мысли и поведение людей [4]. Нормативность поведения в этом контексте может рассматриваться как одна из ключевых черт, обеспечивающих социальную адаптацию и успешность профессиональной деятельности, особенно в сферах, требующих высокой дисциплины и соблюдения корпоративных стандартов.</w:t>
      </w:r>
    </w:p>
    <w:p w14:paraId="0036C6CC" w14:textId="121EADDD" w:rsid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все три исследуемые характеристики – эмоциональная устойчивость, доминантность и нормативность поведения – имеют прочную теоретическую базу, восходящую к классическим работам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развитую в последующих исследованиях отечественных и зарубежных психологов. Их диагностика с помощью 16-факторного опросника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(16PF) является валидным и надежным инструментом, широко применяемым в организационной психологии.</w:t>
      </w:r>
    </w:p>
    <w:p w14:paraId="3BEE5DA4" w14:textId="7080E2CB" w:rsidR="00D14EF4" w:rsidRDefault="00D14EF4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изучения выраженности характеристик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эмоциональной устойчивости, доминантности и нормативности поведения</w:t>
      </w:r>
      <w:r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сотрудников</w:t>
      </w:r>
      <w:r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было организовано эмпирическое исследование, в котором приняло участие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50</w:t>
      </w:r>
      <w:r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человек</w:t>
      </w:r>
      <w:r w:rsidRPr="00D14EF4">
        <w:rPr>
          <w:rFonts w:ascii="Times New Roman" w:eastAsia="Calibri" w:hAnsi="Times New Roman" w:cs="Times New Roman"/>
          <w:color w:val="000000"/>
          <w:sz w:val="24"/>
          <w:szCs w:val="24"/>
        </w:rPr>
        <w:t>. На рисунке 1 представлены структурные характеристики группы испытуемых:</w:t>
      </w:r>
    </w:p>
    <w:p w14:paraId="1B89825B" w14:textId="77777777" w:rsidR="006317CD" w:rsidRPr="00D14EF4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00B361" w14:textId="2AE70007" w:rsidR="00D14EF4" w:rsidRDefault="00D14EF4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24E9">
        <w:rPr>
          <w:noProof/>
          <w:sz w:val="28"/>
          <w:szCs w:val="28"/>
          <w:lang w:eastAsia="ru-RU"/>
        </w:rPr>
        <w:drawing>
          <wp:inline distT="0" distB="0" distL="0" distR="0" wp14:anchorId="550990CF" wp14:editId="2B3DB947">
            <wp:extent cx="4686300" cy="2133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5CC1EE6" w14:textId="6E09E09B" w:rsidR="00D14EF4" w:rsidRPr="0091400B" w:rsidRDefault="00D14EF4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>Рисунок 1.  Пол участников исследования (в %-ом соотношении)</w:t>
      </w:r>
    </w:p>
    <w:p w14:paraId="786403C2" w14:textId="77777777" w:rsidR="006317CD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679CB7" w14:textId="79F99F5F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качестве основного психодиагностического инструментария использовался 16-факторный личностный опросник Р.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(16PF, форма А). Для решения поставленных задач анализировались следующие первичные факторы:</w:t>
      </w:r>
    </w:p>
    <w:p w14:paraId="7AE0B9C3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· фактор C («эмоциональная неустойчивость – эмоциональная устойчивость»);</w:t>
      </w:r>
    </w:p>
    <w:p w14:paraId="1A436880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· фактор E («подчиненность – доминантность»);</w:t>
      </w:r>
    </w:p>
    <w:p w14:paraId="270CB751" w14:textId="08B38D2C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·фактор G («низкая нормативность поведения – высокая нормативность поведения»).</w:t>
      </w:r>
    </w:p>
    <w:p w14:paraId="6224697B" w14:textId="35B1601F" w:rsid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Обработка данных проводилась в соответствии со стандартными процедурами: перевод баллов в стены (стандартную десятибалльную шкалу), подсчёт средних арифметических значений по группе в целом, процентное распределение уровней выраженности каждого фактора (низкий – 1–4 стена, средний – 5–6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стенов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высокий – 7–10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стенов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70C159DA" w14:textId="77777777" w:rsidR="0091400B" w:rsidRDefault="0091400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7A5D27" w14:textId="7A33E8BA" w:rsidR="00EC60E2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Данные а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среднетрупповых</w:t>
      </w:r>
      <w:proofErr w:type="spellEnd"/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показателей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приведён на рисунке 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8123A96" w14:textId="34741AF6" w:rsidR="004928CE" w:rsidRPr="0091400B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400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363A6F2" wp14:editId="5F331E4B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574357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64" y="21515"/>
                <wp:lineTo x="21564" y="0"/>
                <wp:lineTo x="0" y="0"/>
              </wp:wrapPolygon>
            </wp:wrapTight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31034FA-FCC6-4335-B730-7BE50C3CA4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8CE"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Рисунок 2. Выраженность личностных характеристик по 16-факторному личностному опроснику Р. </w:t>
      </w:r>
      <w:proofErr w:type="spellStart"/>
      <w:r w:rsidR="004928CE"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="004928CE"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участников исследования (в средних значениях)</w:t>
      </w:r>
    </w:p>
    <w:p w14:paraId="7E38061E" w14:textId="77777777" w:rsidR="006317CD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3DA276" w14:textId="006001F7" w:rsidR="00F74ACB" w:rsidRPr="00EC60E2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аиболее высокие значения в выборке сотрудников ООО «Комфорт» зафиксированы по фактору G (нормативность поведения) – 6,2 стена, что соответствует уровню выше среднего. Это характеризует респондентов как ответственных, добросовестных, дисциплинированных, осознанно соблюдающих нормы и правила. По фактору C (эмоциональная устойчивость) среднее значение составило 5,9 стена (средний уровень, граничащий с высоким). Сотрудники демонстрируют способность сохранять самообладание в напряжённых ситуациях, реалистично оценивать обстоятельства и адаптироваться к изменениям. По фактору E (доминантность) среднее значение – 5,1 стена (средний уровень), что указывает на умеренное стремление к лидерству и независимости, отсутствие ярко выраженной властности или, напротив, излишней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подчиняемости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99C6F32" w14:textId="31604773" w:rsidR="00F74ACB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EE62A9" w14:textId="2967DB1C" w:rsid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Уровневое распределение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представлено на рисунке 3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F74ACB" w:rsidRPr="00F74ACB">
        <w:rPr>
          <w:noProof/>
        </w:rPr>
        <w:t xml:space="preserve"> </w:t>
      </w:r>
    </w:p>
    <w:p w14:paraId="0083973A" w14:textId="7D1CB0D0" w:rsidR="00F74ACB" w:rsidRPr="0091400B" w:rsidRDefault="00F74ACB" w:rsidP="006317CD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B497BC" wp14:editId="75699BDE">
            <wp:simplePos x="0" y="0"/>
            <wp:positionH relativeFrom="page">
              <wp:posOffset>1495425</wp:posOffset>
            </wp:positionH>
            <wp:positionV relativeFrom="paragraph">
              <wp:posOffset>32385</wp:posOffset>
            </wp:positionV>
            <wp:extent cx="5019675" cy="2190750"/>
            <wp:effectExtent l="0" t="0" r="9525" b="0"/>
            <wp:wrapTight wrapText="bothSides">
              <wp:wrapPolygon edited="0">
                <wp:start x="0" y="0"/>
                <wp:lineTo x="0" y="21412"/>
                <wp:lineTo x="21559" y="21412"/>
                <wp:lineTo x="21559" y="0"/>
                <wp:lineTo x="0" y="0"/>
              </wp:wrapPolygon>
            </wp:wrapTight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7762771C-7154-4531-9F26-D2F7653B60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Рисунок 3. Выраженность общего уровня личностных характеристик по 16-факторному личностному опроснику Р. </w:t>
      </w:r>
      <w:proofErr w:type="spellStart"/>
      <w:r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>Кеттелла</w:t>
      </w:r>
      <w:proofErr w:type="spellEnd"/>
      <w:r w:rsidRPr="00914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участников исследования (в %-ом соотношении)</w:t>
      </w:r>
    </w:p>
    <w:p w14:paraId="08623AAD" w14:textId="4FB9B1A9" w:rsidR="00353E50" w:rsidRDefault="00353E50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36D90E" w14:textId="5AFAF83C" w:rsidR="00F74ACB" w:rsidRPr="00EC60E2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Эмоциональная устойчивость (C): низкий уровень – 16% сотрудников (8 чел.), средний – 54% (27 чел.), высокий – 30% (15 чел.).</w:t>
      </w:r>
    </w:p>
    <w:p w14:paraId="3431D257" w14:textId="48576CFD" w:rsidR="00F74ACB" w:rsidRPr="00EC60E2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Доминантность (E): низкий уровень – 24% (12 чел.), средний – 48% (24 чел.), высокий – 28% (14 чел.).</w:t>
      </w:r>
    </w:p>
    <w:p w14:paraId="765F2ECA" w14:textId="77777777" w:rsidR="00F74ACB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Нормативность поведения (G): низкий уровень – 14% (7 чел.), средний – 50% (25 чел.), высокий – 36% (18 чел.).</w:t>
      </w:r>
    </w:p>
    <w:p w14:paraId="207C2226" w14:textId="34B8BD87" w:rsidR="00F74ACB" w:rsidRDefault="00F74AC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6048B1" w14:textId="791675A7" w:rsidR="00EC60E2" w:rsidRPr="00EC60E2" w:rsidRDefault="00CC7894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р</w:t>
      </w:r>
      <w:r w:rsidRPr="00CC7894">
        <w:rPr>
          <w:rFonts w:ascii="Times New Roman" w:eastAsia="Calibri" w:hAnsi="Times New Roman" w:cs="Times New Roman"/>
          <w:color w:val="000000"/>
          <w:sz w:val="24"/>
          <w:szCs w:val="24"/>
        </w:rPr>
        <w:t>езультаты исследования показ</w:t>
      </w:r>
      <w:r w:rsidR="0091400B">
        <w:rPr>
          <w:rFonts w:ascii="Times New Roman" w:eastAsia="Calibri" w:hAnsi="Times New Roman" w:cs="Times New Roman"/>
          <w:color w:val="000000"/>
          <w:sz w:val="24"/>
          <w:szCs w:val="24"/>
        </w:rPr>
        <w:t>али</w:t>
      </w:r>
      <w:r w:rsidRPr="00CC7894">
        <w:rPr>
          <w:rFonts w:ascii="Times New Roman" w:eastAsia="Calibri" w:hAnsi="Times New Roman" w:cs="Times New Roman"/>
          <w:color w:val="000000"/>
          <w:sz w:val="24"/>
          <w:szCs w:val="24"/>
        </w:rPr>
        <w:t>, что высокая эмоциональная устойчивость и нормативность поведения сотрудников являются важной основой для стабильной и эффективной работы любой организации. При этом разнообразие уровней доминантности в коллективе требует гибкого и индивидуального подхода к управлению персоналом, что способствует максимальной реализации потенциала сотрудников и поддержанию гармоничных рабочих отношений.</w:t>
      </w:r>
    </w:p>
    <w:p w14:paraId="704EFA92" w14:textId="28CDCA44" w:rsidR="004928CE" w:rsidRDefault="004928CE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28CE">
        <w:rPr>
          <w:rFonts w:ascii="Times New Roman" w:eastAsia="Calibri" w:hAnsi="Times New Roman" w:cs="Times New Roman"/>
          <w:color w:val="000000"/>
          <w:sz w:val="24"/>
          <w:szCs w:val="24"/>
        </w:rPr>
        <w:t>Учитывая полученные результаты исследования, считаем важным выделить несколько рекомендаций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·</w:t>
      </w:r>
    </w:p>
    <w:p w14:paraId="252CC5D7" w14:textId="32AC65F2" w:rsidR="00EC60E2" w:rsidRPr="00EC60E2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учитывать выраженность факторов C, E, G при подборе кадров (для руководящих должностей предпочтительны средние и высокие значения по E и C);</w:t>
      </w:r>
    </w:p>
    <w:p w14:paraId="41AE917D" w14:textId="7321A538" w:rsidR="00EC60E2" w:rsidRPr="00EC60E2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тренинги эмоциональной компетентности для сотрудников с низкими показателями по фактору C;</w:t>
      </w:r>
    </w:p>
    <w:p w14:paraId="61102DB8" w14:textId="755C94A4" w:rsidR="00EC60E2" w:rsidRPr="00EC60E2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выявленные корреляции для прогнозирования конфликтного поведения и формирования сбалансированных рабочих групп;</w:t>
      </w:r>
    </w:p>
    <w:p w14:paraId="44B6C65B" w14:textId="471DFE82" w:rsidR="00EC60E2" w:rsidRDefault="006317CD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928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C60E2"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внедрить систему наставничества для работников с низкой нормативностью поведения.</w:t>
      </w:r>
    </w:p>
    <w:p w14:paraId="64B9A434" w14:textId="77777777" w:rsidR="0091400B" w:rsidRPr="00EC60E2" w:rsidRDefault="0091400B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52AF4C" w14:textId="77777777" w:rsidR="00EC60E2" w:rsidRPr="006317CD" w:rsidRDefault="00EC60E2" w:rsidP="006317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317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Список литературы</w:t>
      </w:r>
    </w:p>
    <w:p w14:paraId="741CADE4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Ильин, Е.П. Эмоции и чувства. – СПб.: Питер, 2001. – 752 с. </w:t>
      </w:r>
    </w:p>
    <w:p w14:paraId="0B47ED2E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Психологос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Доминантность. – 2022. [Электронный ресурс]. – Режим доступа: https://psychologos.ru/articles/view/dominantnost </w:t>
      </w:r>
    </w:p>
    <w:p w14:paraId="6162C02C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Психологос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Подчиненность-доминантность по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Кеттеллу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– 2022. [Электронный ресурс]. – Режим доступа: https://psychologos.ru/articles/view/podchinennost-dominantnost-po-kettellu </w:t>
      </w:r>
    </w:p>
    <w:p w14:paraId="2473363F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Теория черт // Википедия. – 2020. [Электронный ресурс]. – Режим доступа: https://ru.wikipedia.org/wiki/Теория_черт </w:t>
      </w:r>
    </w:p>
    <w:p w14:paraId="72F4D5B1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Колесникова, Ю. «Эмоциональная устойчивость» в психолого-педагогических исследованиях. – 2024. [Электронный ресурс]. – Режим доступа: https://www.maam.ru/detskijsad/-yemocionalnaja-ustoichivost-v-psihologo-pedagogicheskih-isledovanijah.html </w:t>
      </w:r>
    </w:p>
    <w:p w14:paraId="35B6DA18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6. Корнеева, Е.Н. Взаимосвязь личностных факторов и стратегий поведения в конфликте у менеджеров // Вестник КГУ. – 2021. – Т.27, №2. – С. 145-152.</w:t>
      </w:r>
    </w:p>
    <w:p w14:paraId="42D988AF" w14:textId="77777777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Нестик</w:t>
      </w:r>
      <w:proofErr w:type="spellEnd"/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, Т.А., Балабанова Е.С. Личностные детерминанты конфликтного поведения в организации // Психология. Журнал ВШЭ. – 2020. – Т.17, №3. – С. 512-528.</w:t>
      </w:r>
    </w:p>
    <w:p w14:paraId="2E5D83BB" w14:textId="77777777" w:rsidR="00EC60E2" w:rsidRPr="00F74ACB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8. Орлова, М. А. Психологические аспекты внутриорганизационных конфликтов // Инновации. Наука</w:t>
      </w:r>
      <w:r w:rsidRPr="00F74A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Образование</w:t>
      </w:r>
      <w:r w:rsidRPr="00F74A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– 2023. – №91. – </w:t>
      </w:r>
      <w:r w:rsidRPr="00EC60E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F74AC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219-226.</w:t>
      </w:r>
    </w:p>
    <w:p w14:paraId="166882D9" w14:textId="549374D3" w:rsidR="00EC60E2" w:rsidRPr="00EC60E2" w:rsidRDefault="00EC60E2" w:rsidP="006317C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EC60E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9. Park, J. et al. The Big Five personality traits and conflict handling styles // International Journal of Conflict Management. – 2021. – Vol.32, No.3. – P. 487-508.</w:t>
      </w:r>
    </w:p>
    <w:sectPr w:rsidR="00EC60E2" w:rsidRPr="00EC60E2" w:rsidSect="009140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2"/>
    <w:rsid w:val="00353E50"/>
    <w:rsid w:val="004928CE"/>
    <w:rsid w:val="0059617D"/>
    <w:rsid w:val="006317CD"/>
    <w:rsid w:val="006B59CA"/>
    <w:rsid w:val="0091400B"/>
    <w:rsid w:val="00A167FA"/>
    <w:rsid w:val="00CC7894"/>
    <w:rsid w:val="00D14EF4"/>
    <w:rsid w:val="00EC60E2"/>
    <w:rsid w:val="00F74ACB"/>
    <w:rsid w:val="00F84276"/>
    <w:rsid w:val="00F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9ED"/>
  <w15:chartTrackingRefBased/>
  <w15:docId w15:val="{1A3B1702-2AB5-4AE3-9784-C19A3490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4EF4"/>
    <w:pPr>
      <w:spacing w:after="200" w:line="276" w:lineRule="auto"/>
      <w:ind w:left="720"/>
      <w:contextualSpacing/>
    </w:pPr>
    <w:rPr>
      <w:rFonts w:ascii="XO Thames" w:eastAsia="XO Thames" w:hAnsi="XO Thames" w:cs="Times New Roman"/>
    </w:rPr>
  </w:style>
  <w:style w:type="character" w:customStyle="1" w:styleId="a4">
    <w:name w:val="Абзац списка Знак"/>
    <w:link w:val="a3"/>
    <w:uiPriority w:val="34"/>
    <w:rsid w:val="00D14EF4"/>
    <w:rPr>
      <w:rFonts w:ascii="XO Thames" w:eastAsia="XO Thames" w:hAnsi="XO Tha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ina%20Boginskaya\Documents\&#1059;&#1095;&#1077;&#1073;&#1072;\&#1050;&#1091;&#1088;&#1089;&#1086;&#1074;&#1072;&#1103;\&#1090;&#1072;&#1073;&#1083;&#1080;&#109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rina%20Boginskaya\Documents\&#1059;&#1095;&#1077;&#1073;&#1072;\&#1050;&#1091;&#1088;&#1089;&#1086;&#1074;&#1072;&#1103;\&#1090;&#1072;&#1073;&#1083;&#1080;&#109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627238584127294E-2"/>
          <c:y val="5.3307608936942634E-2"/>
          <c:w val="0.77883169472600466"/>
          <c:h val="0.83657336676199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7356-41C4-A56B-B9F3F56CF038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356-41C4-A56B-B9F3F56CF038}"/>
              </c:ext>
            </c:extLst>
          </c:dPt>
          <c:dLbls>
            <c:dLbl>
              <c:idx val="0"/>
              <c:layout>
                <c:manualLayout>
                  <c:x val="-0.10459643615588246"/>
                  <c:y val="8.5711732319723746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30%</a:t>
                    </a:r>
                    <a:endParaRPr lang="en-US" sz="18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356-41C4-A56B-B9F3F56CF038}"/>
                </c:ext>
              </c:extLst>
            </c:dLbl>
            <c:dLbl>
              <c:idx val="1"/>
              <c:layout>
                <c:manualLayout>
                  <c:x val="0.13341146580368279"/>
                  <c:y val="-0.37063534620068095"/>
                </c:manualLayout>
              </c:layout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70%</a:t>
                    </a:r>
                    <a:endParaRPr lang="en-US" sz="18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356-41C4-A56B-B9F3F56CF038}"/>
                </c:ext>
              </c:extLst>
            </c:dLbl>
            <c:dLbl>
              <c:idx val="2"/>
              <c:layout>
                <c:manualLayout>
                  <c:x val="7.7096006227328762E-2"/>
                  <c:y val="0.102994691580753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56-41C4-A56B-B9F3F56CF038}"/>
                </c:ext>
              </c:extLst>
            </c:dLbl>
            <c:dLbl>
              <c:idx val="3"/>
              <c:layout>
                <c:manualLayout>
                  <c:x val="3.1203905387359263E-2"/>
                  <c:y val="6.28993531106949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56-41C4-A56B-B9F3F56CF038}"/>
                </c:ext>
              </c:extLst>
            </c:dLbl>
            <c:dLbl>
              <c:idx val="4"/>
              <c:layout>
                <c:manualLayout>
                  <c:x val="2.4279783323280457E-2"/>
                  <c:y val="5.73082995008553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356-41C4-A56B-B9F3F56CF0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Мужской пол</c:v>
                </c:pt>
                <c:pt idx="1">
                  <c:v>Женский пол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356-41C4-A56B-B9F3F56CF0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6373334884744115"/>
          <c:y val="3.4607741364023364E-2"/>
          <c:w val="0.21537787457934648"/>
          <c:h val="0.877607126435264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>
                  <a:shade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EAE-435A-AF26-FEA500BD4842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EAE-435A-AF26-FEA500BD4842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tint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EAE-435A-AF26-FEA500BD484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'Лист1 (2)'!$A$16:$C$16</c:f>
              <c:strCache>
                <c:ptCount val="3"/>
                <c:pt idx="0">
                  <c:v>эмоциональная устойчивость</c:v>
                </c:pt>
                <c:pt idx="1">
                  <c:v>подчиненность–доминантность</c:v>
                </c:pt>
                <c:pt idx="2">
                  <c:v>низкая–высокая нормативность поведения</c:v>
                </c:pt>
              </c:strCache>
            </c:strRef>
          </c:cat>
          <c:val>
            <c:numRef>
              <c:f>'Лист1 (2)'!$A$17:$C$17</c:f>
              <c:numCache>
                <c:formatCode>General</c:formatCode>
                <c:ptCount val="3"/>
                <c:pt idx="0">
                  <c:v>5.9</c:v>
                </c:pt>
                <c:pt idx="1">
                  <c:v>5.0999999999999996</c:v>
                </c:pt>
                <c:pt idx="2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EAE-435A-AF26-FEA500BD4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75633216"/>
        <c:axId val="1875624064"/>
      </c:barChart>
      <c:catAx>
        <c:axId val="1875633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75624064"/>
        <c:crosses val="autoZero"/>
        <c:auto val="1"/>
        <c:lblAlgn val="ctr"/>
        <c:lblOffset val="100"/>
        <c:noMultiLvlLbl val="0"/>
      </c:catAx>
      <c:valAx>
        <c:axId val="18756240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7563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Лист8!$A$2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Лист8!$B$1:$D$1</c:f>
              <c:strCache>
                <c:ptCount val="3"/>
                <c:pt idx="0">
                  <c:v> Эмоциональная устойчивость</c:v>
                </c:pt>
                <c:pt idx="1">
                  <c:v>Доминантность</c:v>
                </c:pt>
                <c:pt idx="2">
                  <c:v>Нормативность поведения</c:v>
                </c:pt>
              </c:strCache>
            </c:strRef>
          </c:cat>
          <c:val>
            <c:numRef>
              <c:f>Лист8!$B$2:$D$2</c:f>
              <c:numCache>
                <c:formatCode>0%</c:formatCode>
                <c:ptCount val="3"/>
                <c:pt idx="0">
                  <c:v>0.3</c:v>
                </c:pt>
                <c:pt idx="1">
                  <c:v>0.36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F-4975-9A5F-5C3EF21EF383}"/>
            </c:ext>
          </c:extLst>
        </c:ser>
        <c:ser>
          <c:idx val="1"/>
          <c:order val="1"/>
          <c:tx>
            <c:strRef>
              <c:f>Лист8!$A$3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Лист8!$B$1:$D$1</c:f>
              <c:strCache>
                <c:ptCount val="3"/>
                <c:pt idx="0">
                  <c:v> Эмоциональная устойчивость</c:v>
                </c:pt>
                <c:pt idx="1">
                  <c:v>Доминантность</c:v>
                </c:pt>
                <c:pt idx="2">
                  <c:v>Нормативность поведения</c:v>
                </c:pt>
              </c:strCache>
            </c:strRef>
          </c:cat>
          <c:val>
            <c:numRef>
              <c:f>Лист8!$B$3:$D$3</c:f>
              <c:numCache>
                <c:formatCode>0%</c:formatCode>
                <c:ptCount val="3"/>
                <c:pt idx="0">
                  <c:v>0.54</c:v>
                </c:pt>
                <c:pt idx="1">
                  <c:v>0.5</c:v>
                </c:pt>
                <c:pt idx="2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AF-4975-9A5F-5C3EF21EF383}"/>
            </c:ext>
          </c:extLst>
        </c:ser>
        <c:ser>
          <c:idx val="2"/>
          <c:order val="2"/>
          <c:tx>
            <c:strRef>
              <c:f>Лист8!$A$4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3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Лист8!$B$1:$D$1</c:f>
              <c:strCache>
                <c:ptCount val="3"/>
                <c:pt idx="0">
                  <c:v> Эмоциональная устойчивость</c:v>
                </c:pt>
                <c:pt idx="1">
                  <c:v>Доминантность</c:v>
                </c:pt>
                <c:pt idx="2">
                  <c:v>Нормативность поведения</c:v>
                </c:pt>
              </c:strCache>
            </c:strRef>
          </c:cat>
          <c:val>
            <c:numRef>
              <c:f>Лист8!$B$4:$D$4</c:f>
              <c:numCache>
                <c:formatCode>0%</c:formatCode>
                <c:ptCount val="3"/>
                <c:pt idx="0">
                  <c:v>0.16</c:v>
                </c:pt>
                <c:pt idx="1">
                  <c:v>0.14000000000000001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AF-4975-9A5F-5C3EF21EF3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28244015"/>
        <c:axId val="228237775"/>
      </c:barChart>
      <c:catAx>
        <c:axId val="2282440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8237775"/>
        <c:crosses val="autoZero"/>
        <c:auto val="1"/>
        <c:lblAlgn val="ctr"/>
        <c:lblOffset val="100"/>
        <c:noMultiLvlLbl val="0"/>
      </c:catAx>
      <c:valAx>
        <c:axId val="228237775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228244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Богинская</dc:creator>
  <cp:keywords/>
  <dc:description/>
  <cp:lastModifiedBy>Дарина Богинская</cp:lastModifiedBy>
  <cp:revision>6</cp:revision>
  <dcterms:created xsi:type="dcterms:W3CDTF">2026-03-29T15:12:00Z</dcterms:created>
  <dcterms:modified xsi:type="dcterms:W3CDTF">2026-04-01T17:07:00Z</dcterms:modified>
</cp:coreProperties>
</file>