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E6D3F" w14:textId="08E91C12" w:rsidR="00E3396A" w:rsidRPr="00161F11" w:rsidRDefault="00E3396A" w:rsidP="00161F11">
      <w:pPr>
        <w:spacing w:after="0" w:line="240" w:lineRule="auto"/>
        <w:jc w:val="center"/>
        <w:rPr>
          <w:rFonts w:ascii="Times New Roman" w:eastAsia="Times New Roman" w:hAnsi="Times New Roman" w:cs="Times New Roman"/>
          <w:color w:val="000000" w:themeColor="text1"/>
          <w:sz w:val="24"/>
          <w:szCs w:val="24"/>
          <w:lang w:eastAsia="ru-RU"/>
        </w:rPr>
      </w:pPr>
      <w:r w:rsidRPr="00161F11">
        <w:rPr>
          <w:rFonts w:ascii="Times New Roman" w:eastAsia="Times New Roman" w:hAnsi="Times New Roman" w:cs="Times New Roman"/>
          <w:color w:val="000000" w:themeColor="text1"/>
          <w:sz w:val="24"/>
          <w:szCs w:val="24"/>
          <w:lang w:eastAsia="ru-RU"/>
        </w:rPr>
        <w:t>Экспериментальная оценка инновационных полисахаридных гемостатиков в лечении пищеводных кровотечений варикозного генеза.</w:t>
      </w:r>
      <w:r w:rsidRPr="00161F11">
        <w:rPr>
          <w:rFonts w:ascii="Times New Roman" w:eastAsia="Times New Roman" w:hAnsi="Times New Roman" w:cs="Times New Roman"/>
          <w:color w:val="000000" w:themeColor="text1"/>
          <w:sz w:val="24"/>
          <w:szCs w:val="24"/>
          <w:lang w:eastAsia="ru-RU"/>
        </w:rPr>
        <w:br/>
        <w:t>Дадоходжаев Амирходжа Асрорходжаевич</w:t>
      </w:r>
      <w:r w:rsidRPr="00161F11">
        <w:rPr>
          <w:rFonts w:ascii="Times New Roman" w:eastAsia="Times New Roman" w:hAnsi="Times New Roman" w:cs="Times New Roman"/>
          <w:color w:val="000000" w:themeColor="text1"/>
          <w:sz w:val="24"/>
          <w:szCs w:val="24"/>
          <w:lang w:eastAsia="ru-RU"/>
        </w:rPr>
        <w:br/>
        <w:t>Студент</w:t>
      </w:r>
    </w:p>
    <w:p w14:paraId="7531D15E" w14:textId="121F93AB" w:rsidR="00E3396A" w:rsidRPr="00161F11" w:rsidRDefault="00E3396A" w:rsidP="00161F11">
      <w:pPr>
        <w:spacing w:after="0" w:line="240" w:lineRule="auto"/>
        <w:jc w:val="center"/>
        <w:rPr>
          <w:rFonts w:ascii="Times New Roman" w:eastAsia="Times New Roman" w:hAnsi="Times New Roman" w:cs="Times New Roman"/>
          <w:color w:val="000000" w:themeColor="text1"/>
          <w:sz w:val="24"/>
          <w:szCs w:val="24"/>
          <w:lang w:eastAsia="ru-RU"/>
        </w:rPr>
      </w:pPr>
      <w:r w:rsidRPr="00161F11">
        <w:rPr>
          <w:rFonts w:ascii="Times New Roman" w:eastAsia="Times New Roman" w:hAnsi="Times New Roman" w:cs="Times New Roman"/>
          <w:color w:val="000000" w:themeColor="text1"/>
          <w:sz w:val="24"/>
          <w:szCs w:val="24"/>
          <w:lang w:eastAsia="ru-RU"/>
        </w:rPr>
        <w:t>Андрей Юрьевич Анисимов</w:t>
      </w:r>
    </w:p>
    <w:p w14:paraId="5F1166B0" w14:textId="45A4C1EB" w:rsidR="00E3396A" w:rsidRPr="00161F11" w:rsidRDefault="00E3396A" w:rsidP="00161F11">
      <w:pPr>
        <w:spacing w:after="0" w:line="240" w:lineRule="auto"/>
        <w:jc w:val="center"/>
        <w:rPr>
          <w:rFonts w:ascii="Times New Roman" w:eastAsia="Times New Roman" w:hAnsi="Times New Roman" w:cs="Times New Roman"/>
          <w:color w:val="000000" w:themeColor="text1"/>
          <w:sz w:val="24"/>
          <w:szCs w:val="24"/>
          <w:lang w:eastAsia="ru-RU"/>
        </w:rPr>
      </w:pPr>
      <w:r w:rsidRPr="00161F11">
        <w:rPr>
          <w:rFonts w:ascii="Times New Roman" w:eastAsia="Times New Roman" w:hAnsi="Times New Roman" w:cs="Times New Roman"/>
          <w:color w:val="000000" w:themeColor="text1"/>
          <w:sz w:val="24"/>
          <w:szCs w:val="24"/>
          <w:lang w:eastAsia="ru-RU"/>
        </w:rPr>
        <w:t>Научный руководитель, профессор, д.м.н.</w:t>
      </w:r>
      <w:r w:rsidRPr="00161F11">
        <w:rPr>
          <w:rFonts w:ascii="Times New Roman" w:eastAsia="Times New Roman" w:hAnsi="Times New Roman" w:cs="Times New Roman"/>
          <w:color w:val="000000" w:themeColor="text1"/>
          <w:sz w:val="24"/>
          <w:szCs w:val="24"/>
          <w:lang w:eastAsia="ru-RU"/>
        </w:rPr>
        <w:br/>
        <w:t xml:space="preserve">Институт фундаментальной медицины и биологии </w:t>
      </w:r>
    </w:p>
    <w:p w14:paraId="6F5F4E79" w14:textId="77777777" w:rsidR="00E3396A" w:rsidRPr="00161F11" w:rsidRDefault="00E3396A" w:rsidP="00161F11">
      <w:pPr>
        <w:spacing w:after="0" w:line="240" w:lineRule="auto"/>
        <w:jc w:val="center"/>
        <w:rPr>
          <w:rFonts w:ascii="Times New Roman" w:eastAsia="Times New Roman" w:hAnsi="Times New Roman" w:cs="Times New Roman"/>
          <w:color w:val="000000" w:themeColor="text1"/>
          <w:sz w:val="24"/>
          <w:szCs w:val="24"/>
          <w:lang w:eastAsia="ru-RU"/>
        </w:rPr>
      </w:pPr>
    </w:p>
    <w:p w14:paraId="6A237581" w14:textId="77777777" w:rsidR="00E3396A" w:rsidRPr="00161F11" w:rsidRDefault="00E3396A" w:rsidP="00161F11">
      <w:pPr>
        <w:spacing w:line="240" w:lineRule="auto"/>
        <w:jc w:val="both"/>
        <w:rPr>
          <w:rFonts w:ascii="Times New Roman" w:hAnsi="Times New Roman" w:cs="Times New Roman"/>
          <w:sz w:val="24"/>
          <w:szCs w:val="24"/>
        </w:rPr>
      </w:pPr>
      <w:r w:rsidRPr="00161F11">
        <w:rPr>
          <w:rFonts w:ascii="Times New Roman" w:hAnsi="Times New Roman" w:cs="Times New Roman"/>
          <w:sz w:val="24"/>
          <w:szCs w:val="24"/>
        </w:rPr>
        <w:t>Ключевые слова: Портальная гипертензия, кровоостанавливающий препарат, варикозно расширенные вены пищевода.</w:t>
      </w:r>
    </w:p>
    <w:p w14:paraId="7E01F115" w14:textId="77777777" w:rsidR="00E3396A" w:rsidRPr="00161F11" w:rsidRDefault="00E3396A" w:rsidP="00161F11">
      <w:pPr>
        <w:spacing w:line="240" w:lineRule="auto"/>
        <w:jc w:val="both"/>
        <w:rPr>
          <w:rFonts w:ascii="Times New Roman" w:hAnsi="Times New Roman" w:cs="Times New Roman"/>
          <w:sz w:val="24"/>
          <w:szCs w:val="24"/>
        </w:rPr>
      </w:pPr>
    </w:p>
    <w:p w14:paraId="59E5894A" w14:textId="03645FBD" w:rsidR="006E496D" w:rsidRPr="00161F11" w:rsidRDefault="00784649" w:rsidP="00161F11">
      <w:pPr>
        <w:spacing w:line="240" w:lineRule="auto"/>
        <w:ind w:firstLine="709"/>
        <w:jc w:val="both"/>
        <w:rPr>
          <w:rFonts w:ascii="Times New Roman" w:hAnsi="Times New Roman" w:cs="Times New Roman"/>
          <w:sz w:val="24"/>
          <w:szCs w:val="24"/>
        </w:rPr>
      </w:pPr>
      <w:r w:rsidRPr="00784649">
        <w:rPr>
          <w:rFonts w:ascii="Times New Roman" w:hAnsi="Times New Roman" w:cs="Times New Roman"/>
          <w:sz w:val="24"/>
          <w:szCs w:val="24"/>
        </w:rPr>
        <w:t>Актуальность клинически значимого синдрома портальной гипертензии определяется частотой и тяжестью его осложнений, в первую очередь, кровотечения из-за разрыва варикозных вен пищевода или желудка [</w:t>
      </w:r>
      <w:r w:rsidR="00C07AC9">
        <w:rPr>
          <w:rFonts w:ascii="Times New Roman" w:hAnsi="Times New Roman" w:cs="Times New Roman"/>
          <w:sz w:val="24"/>
          <w:szCs w:val="24"/>
        </w:rPr>
        <w:t>6</w:t>
      </w:r>
      <w:r w:rsidR="00557DB2" w:rsidRPr="00557DB2">
        <w:rPr>
          <w:rFonts w:ascii="Times New Roman" w:hAnsi="Times New Roman" w:cs="Times New Roman"/>
          <w:sz w:val="24"/>
          <w:szCs w:val="24"/>
        </w:rPr>
        <w:t>,</w:t>
      </w:r>
      <w:r w:rsidR="00C07AC9">
        <w:rPr>
          <w:rFonts w:ascii="Times New Roman" w:hAnsi="Times New Roman" w:cs="Times New Roman"/>
          <w:sz w:val="24"/>
          <w:szCs w:val="24"/>
        </w:rPr>
        <w:t>9</w:t>
      </w:r>
      <w:r w:rsidRPr="00784649">
        <w:rPr>
          <w:rFonts w:ascii="Times New Roman" w:hAnsi="Times New Roman" w:cs="Times New Roman"/>
          <w:sz w:val="24"/>
          <w:szCs w:val="24"/>
        </w:rPr>
        <w:t>]</w:t>
      </w:r>
      <w:r>
        <w:rPr>
          <w:rFonts w:ascii="Times New Roman" w:hAnsi="Times New Roman" w:cs="Times New Roman"/>
          <w:sz w:val="24"/>
          <w:szCs w:val="24"/>
        </w:rPr>
        <w:t xml:space="preserve">. </w:t>
      </w:r>
      <w:r w:rsidRPr="00784649">
        <w:rPr>
          <w:rFonts w:ascii="Times New Roman" w:hAnsi="Times New Roman" w:cs="Times New Roman"/>
          <w:sz w:val="24"/>
          <w:szCs w:val="24"/>
        </w:rPr>
        <w:t>Исследованиями последних лет доказано, что такое кровотечение возникает только в том случае, если градиент между портальным давлением и давлением в нижней полой вене достигает порогового значения 12 мм рт.ст. и является маркером очень высокого риска смерти (57%) [</w:t>
      </w:r>
      <w:r w:rsidR="00C07AC9">
        <w:rPr>
          <w:rFonts w:ascii="Times New Roman" w:hAnsi="Times New Roman" w:cs="Times New Roman"/>
          <w:sz w:val="24"/>
          <w:szCs w:val="24"/>
        </w:rPr>
        <w:t>4</w:t>
      </w:r>
      <w:r w:rsidR="00557DB2" w:rsidRPr="00557DB2">
        <w:rPr>
          <w:rFonts w:ascii="Times New Roman" w:hAnsi="Times New Roman" w:cs="Times New Roman"/>
          <w:sz w:val="24"/>
          <w:szCs w:val="24"/>
        </w:rPr>
        <w:t>,</w:t>
      </w:r>
      <w:r w:rsidR="00C07AC9">
        <w:rPr>
          <w:rFonts w:ascii="Times New Roman" w:hAnsi="Times New Roman" w:cs="Times New Roman"/>
          <w:sz w:val="24"/>
          <w:szCs w:val="24"/>
        </w:rPr>
        <w:t>7</w:t>
      </w:r>
      <w:r w:rsidRPr="00784649">
        <w:rPr>
          <w:rFonts w:ascii="Times New Roman" w:hAnsi="Times New Roman" w:cs="Times New Roman"/>
          <w:sz w:val="24"/>
          <w:szCs w:val="24"/>
        </w:rPr>
        <w:t>]. Разрыв варикозных вен пищевода является причиной 70%, а варикозных вен желудка - от 5 до 10% всех эпизодов кровотечений из верхних отделов желудочно-кишечного тракта у пациентов с портальной гипертензией [</w:t>
      </w:r>
      <w:r w:rsidR="00557DB2" w:rsidRPr="00557DB2">
        <w:rPr>
          <w:rFonts w:ascii="Times New Roman" w:hAnsi="Times New Roman" w:cs="Times New Roman"/>
          <w:sz w:val="24"/>
          <w:szCs w:val="24"/>
        </w:rPr>
        <w:t>5,</w:t>
      </w:r>
      <w:r w:rsidR="00C07AC9">
        <w:rPr>
          <w:rFonts w:ascii="Times New Roman" w:hAnsi="Times New Roman" w:cs="Times New Roman"/>
          <w:sz w:val="24"/>
          <w:szCs w:val="24"/>
        </w:rPr>
        <w:t>8</w:t>
      </w:r>
      <w:r w:rsidRPr="00784649">
        <w:rPr>
          <w:rFonts w:ascii="Times New Roman" w:hAnsi="Times New Roman" w:cs="Times New Roman"/>
          <w:sz w:val="24"/>
          <w:szCs w:val="24"/>
        </w:rPr>
        <w:t>]</w:t>
      </w:r>
      <w:r>
        <w:rPr>
          <w:rFonts w:ascii="Times New Roman" w:hAnsi="Times New Roman" w:cs="Times New Roman"/>
          <w:sz w:val="24"/>
          <w:szCs w:val="24"/>
        </w:rPr>
        <w:t>.</w:t>
      </w:r>
      <w:r w:rsidRPr="00784649">
        <w:rPr>
          <w:rFonts w:ascii="Times New Roman" w:hAnsi="Times New Roman" w:cs="Times New Roman"/>
          <w:sz w:val="24"/>
          <w:szCs w:val="24"/>
        </w:rPr>
        <w:t xml:space="preserve"> </w:t>
      </w:r>
      <w:r w:rsidR="006E496D" w:rsidRPr="00161F11">
        <w:rPr>
          <w:rFonts w:ascii="Times New Roman" w:hAnsi="Times New Roman" w:cs="Times New Roman"/>
          <w:sz w:val="24"/>
          <w:szCs w:val="24"/>
        </w:rPr>
        <w:t xml:space="preserve">Остановка </w:t>
      </w:r>
      <w:r>
        <w:rPr>
          <w:rFonts w:ascii="Times New Roman" w:hAnsi="Times New Roman" w:cs="Times New Roman"/>
          <w:sz w:val="24"/>
          <w:szCs w:val="24"/>
        </w:rPr>
        <w:t>таких</w:t>
      </w:r>
      <w:r w:rsidR="006E496D" w:rsidRPr="00161F11">
        <w:rPr>
          <w:rFonts w:ascii="Times New Roman" w:hAnsi="Times New Roman" w:cs="Times New Roman"/>
          <w:sz w:val="24"/>
          <w:szCs w:val="24"/>
        </w:rPr>
        <w:t xml:space="preserve"> кровотечений из варикозно расширенных вен пищевода (ВРВП), рефрактерных к фармакотерапии и эндоскопическому гемостазу, продолжает</w:t>
      </w:r>
      <w:r>
        <w:rPr>
          <w:rFonts w:ascii="Times New Roman" w:hAnsi="Times New Roman" w:cs="Times New Roman"/>
          <w:sz w:val="24"/>
          <w:szCs w:val="24"/>
        </w:rPr>
        <w:t xml:space="preserve"> </w:t>
      </w:r>
      <w:r w:rsidR="006E496D" w:rsidRPr="00161F11">
        <w:rPr>
          <w:rFonts w:ascii="Times New Roman" w:hAnsi="Times New Roman" w:cs="Times New Roman"/>
          <w:sz w:val="24"/>
          <w:szCs w:val="24"/>
        </w:rPr>
        <w:t>оставаться одной из наиболее сложных и прогностически неблагоприятных ситуаций в абдоминальной хирургии и гепатологии. Несмотря на применение «золотых стандартов» терапии, у 15–20% пациентов с портальной гипертензией не удается добиться остановки кровотечения или предотвратить его рецидив в первые 5 суток, что сопровождается летальностью 30–50</w:t>
      </w:r>
      <w:r w:rsidRPr="00161F11">
        <w:rPr>
          <w:rFonts w:ascii="Times New Roman" w:hAnsi="Times New Roman" w:cs="Times New Roman"/>
          <w:sz w:val="24"/>
          <w:szCs w:val="24"/>
        </w:rPr>
        <w:t>%</w:t>
      </w:r>
      <w:r w:rsidRPr="00C07AC9">
        <w:rPr>
          <w:rFonts w:ascii="Times New Roman" w:hAnsi="Times New Roman" w:cs="Times New Roman"/>
          <w:sz w:val="24"/>
          <w:szCs w:val="24"/>
        </w:rPr>
        <w:t xml:space="preserve"> [</w:t>
      </w:r>
      <w:r w:rsidR="00C07AC9">
        <w:rPr>
          <w:rFonts w:ascii="Times New Roman" w:hAnsi="Times New Roman" w:cs="Times New Roman"/>
          <w:sz w:val="24"/>
          <w:szCs w:val="24"/>
        </w:rPr>
        <w:t>1</w:t>
      </w:r>
      <w:r w:rsidR="00557DB2" w:rsidRPr="00C07AC9">
        <w:rPr>
          <w:rFonts w:ascii="Times New Roman" w:hAnsi="Times New Roman" w:cs="Times New Roman"/>
          <w:sz w:val="24"/>
          <w:szCs w:val="24"/>
        </w:rPr>
        <w:t>,</w:t>
      </w:r>
      <w:r w:rsidR="00C07AC9">
        <w:rPr>
          <w:rFonts w:ascii="Times New Roman" w:hAnsi="Times New Roman" w:cs="Times New Roman"/>
          <w:sz w:val="24"/>
          <w:szCs w:val="24"/>
        </w:rPr>
        <w:t>2</w:t>
      </w:r>
      <w:r w:rsidRPr="00C07AC9">
        <w:rPr>
          <w:rFonts w:ascii="Times New Roman" w:hAnsi="Times New Roman" w:cs="Times New Roman"/>
          <w:sz w:val="24"/>
          <w:szCs w:val="24"/>
        </w:rPr>
        <w:t>]</w:t>
      </w:r>
      <w:r w:rsidR="006E496D" w:rsidRPr="00161F11">
        <w:rPr>
          <w:rFonts w:ascii="Times New Roman" w:hAnsi="Times New Roman" w:cs="Times New Roman"/>
          <w:sz w:val="24"/>
          <w:szCs w:val="24"/>
        </w:rPr>
        <w:t>. Традиционные методы компрессионного гемостаза — баллонная тампонада зондом Sengstaken–Blakemore или установка нитинолового стента Danis — эффективны в экстренных ситуациях, но сопряжено с частотой серьезных осложнений. К ним относятся аспирационные пневмонии, миграция устройств, ятрогенные повреждения слизистой оболочки вплоть до некроза и перфорации, что в итоге усугубляет исход и увеличивает бремя лечения.</w:t>
      </w:r>
      <w:r w:rsidR="00755C37" w:rsidRPr="00161F11">
        <w:rPr>
          <w:rFonts w:ascii="Segoe UI" w:hAnsi="Segoe UI" w:cs="Segoe UI"/>
          <w:color w:val="0F1115"/>
          <w:sz w:val="24"/>
          <w:szCs w:val="24"/>
          <w:shd w:val="clear" w:color="auto" w:fill="FFFFFF"/>
        </w:rPr>
        <w:t xml:space="preserve"> </w:t>
      </w:r>
      <w:r w:rsidR="00755C37" w:rsidRPr="00161F11">
        <w:rPr>
          <w:rFonts w:ascii="Times New Roman" w:hAnsi="Times New Roman" w:cs="Times New Roman"/>
          <w:sz w:val="24"/>
          <w:szCs w:val="24"/>
        </w:rPr>
        <w:t>Данные обстоятельства формируют острую потребность в разработке и внедрении принципиально новых, биосовместимых и безопасных гемостатических материалов, способных обеспечить надежный и атравматичный компрессионный гемостаз, которые могли бы минимизировать риски, присущие жестким механическим устройствам.</w:t>
      </w:r>
      <w:r w:rsidR="006E496D" w:rsidRPr="00161F11">
        <w:rPr>
          <w:rFonts w:ascii="Times New Roman" w:hAnsi="Times New Roman" w:cs="Times New Roman"/>
          <w:sz w:val="24"/>
          <w:szCs w:val="24"/>
        </w:rPr>
        <w:t xml:space="preserve"> </w:t>
      </w:r>
    </w:p>
    <w:p w14:paraId="389B1BB7" w14:textId="77777777" w:rsidR="00B9498C" w:rsidRPr="00161F11" w:rsidRDefault="00B9498C" w:rsidP="00161F11">
      <w:pPr>
        <w:spacing w:line="240" w:lineRule="auto"/>
        <w:ind w:firstLine="709"/>
        <w:jc w:val="both"/>
        <w:rPr>
          <w:rFonts w:ascii="Times New Roman" w:hAnsi="Times New Roman" w:cs="Times New Roman"/>
          <w:sz w:val="24"/>
          <w:szCs w:val="24"/>
        </w:rPr>
      </w:pPr>
      <w:r w:rsidRPr="00161F11">
        <w:rPr>
          <w:rFonts w:ascii="Times New Roman" w:hAnsi="Times New Roman" w:cs="Times New Roman"/>
          <w:sz w:val="24"/>
          <w:szCs w:val="24"/>
        </w:rPr>
        <w:t>В рамках решения этой задачи нами было проведено экспериментальное исследование, преследовавшее три основные цели:</w:t>
      </w:r>
    </w:p>
    <w:p w14:paraId="3182FDB8" w14:textId="4162FCA1" w:rsidR="00B9498C" w:rsidRPr="00161F11" w:rsidRDefault="00FE69F7" w:rsidP="00161F11">
      <w:pPr>
        <w:numPr>
          <w:ilvl w:val="0"/>
          <w:numId w:val="2"/>
        </w:numPr>
        <w:spacing w:line="240" w:lineRule="auto"/>
        <w:jc w:val="both"/>
        <w:rPr>
          <w:rFonts w:ascii="Times New Roman" w:hAnsi="Times New Roman" w:cs="Times New Roman"/>
          <w:sz w:val="24"/>
          <w:szCs w:val="24"/>
        </w:rPr>
      </w:pPr>
      <w:r w:rsidRPr="00161F11">
        <w:rPr>
          <w:rFonts w:ascii="Times New Roman" w:hAnsi="Times New Roman" w:cs="Times New Roman"/>
          <w:sz w:val="24"/>
          <w:szCs w:val="24"/>
        </w:rPr>
        <w:t xml:space="preserve">Воспроизвести </w:t>
      </w:r>
      <w:r w:rsidR="00B9498C" w:rsidRPr="00161F11">
        <w:rPr>
          <w:rFonts w:ascii="Times New Roman" w:hAnsi="Times New Roman" w:cs="Times New Roman"/>
          <w:sz w:val="24"/>
          <w:szCs w:val="24"/>
        </w:rPr>
        <w:t>экспериментальную модель ВРВП на крупном лабораторном животном (домашней свинье), максимально приближенную по патофизиологии к клиническим условиям.</w:t>
      </w:r>
    </w:p>
    <w:p w14:paraId="094C4534" w14:textId="77777777" w:rsidR="00B9498C" w:rsidRPr="00161F11" w:rsidRDefault="00B9498C" w:rsidP="00161F11">
      <w:pPr>
        <w:numPr>
          <w:ilvl w:val="0"/>
          <w:numId w:val="2"/>
        </w:numPr>
        <w:spacing w:line="240" w:lineRule="auto"/>
        <w:jc w:val="both"/>
        <w:rPr>
          <w:rFonts w:ascii="Times New Roman" w:hAnsi="Times New Roman" w:cs="Times New Roman"/>
          <w:sz w:val="24"/>
          <w:szCs w:val="24"/>
        </w:rPr>
      </w:pPr>
      <w:r w:rsidRPr="00161F11">
        <w:rPr>
          <w:rFonts w:ascii="Times New Roman" w:hAnsi="Times New Roman" w:cs="Times New Roman"/>
          <w:sz w:val="24"/>
          <w:szCs w:val="24"/>
        </w:rPr>
        <w:t>Провести сравнительную оценку гемостатической эффективности двух новых оригинальных композиций на основе биополимерного комплекса в сравнении с контрольной группой на созданной модели.</w:t>
      </w:r>
    </w:p>
    <w:p w14:paraId="54722DCF" w14:textId="4E472353" w:rsidR="00A14417" w:rsidRPr="00161F11" w:rsidRDefault="00B9498C" w:rsidP="00161F11">
      <w:pPr>
        <w:numPr>
          <w:ilvl w:val="0"/>
          <w:numId w:val="2"/>
        </w:numPr>
        <w:spacing w:line="240" w:lineRule="auto"/>
        <w:jc w:val="both"/>
        <w:rPr>
          <w:rFonts w:ascii="Times New Roman" w:hAnsi="Times New Roman" w:cs="Times New Roman"/>
          <w:sz w:val="24"/>
          <w:szCs w:val="24"/>
        </w:rPr>
      </w:pPr>
      <w:r w:rsidRPr="00161F11">
        <w:rPr>
          <w:rFonts w:ascii="Times New Roman" w:hAnsi="Times New Roman" w:cs="Times New Roman"/>
          <w:sz w:val="24"/>
          <w:szCs w:val="24"/>
        </w:rPr>
        <w:t>На основании полученных данных рассмотреть перспективы внедрения наиболее эффективного состава в клиническую практику в качестве потенциального нового стандарта для остановки подобных кровотечений.</w:t>
      </w:r>
    </w:p>
    <w:p w14:paraId="27E14D25" w14:textId="589E435E" w:rsidR="00A14417" w:rsidRPr="00161F11" w:rsidRDefault="00A14417" w:rsidP="00161F11">
      <w:pPr>
        <w:spacing w:line="240" w:lineRule="auto"/>
        <w:ind w:firstLine="709"/>
        <w:jc w:val="both"/>
        <w:rPr>
          <w:rFonts w:ascii="Times New Roman" w:hAnsi="Times New Roman" w:cs="Times New Roman"/>
          <w:sz w:val="24"/>
          <w:szCs w:val="24"/>
        </w:rPr>
      </w:pPr>
      <w:r w:rsidRPr="00161F11">
        <w:rPr>
          <w:rFonts w:ascii="Times New Roman" w:hAnsi="Times New Roman" w:cs="Times New Roman"/>
          <w:sz w:val="24"/>
          <w:szCs w:val="24"/>
        </w:rPr>
        <w:t>Методы: </w:t>
      </w:r>
      <w:r w:rsidR="00784649" w:rsidRPr="00784649">
        <w:rPr>
          <w:rFonts w:ascii="Times New Roman" w:hAnsi="Times New Roman" w:cs="Times New Roman"/>
          <w:sz w:val="24"/>
          <w:szCs w:val="24"/>
        </w:rPr>
        <w:t xml:space="preserve">Для оценки местных гемостатических средств в качестве экспериментального животного использовали трехмесячного подсвинка мужского пола породы «Крупная белая» с исходной массой 29 кг. Свинья была нами выбрана в качестве объекта для проведения </w:t>
      </w:r>
      <w:r w:rsidR="00784649" w:rsidRPr="00784649">
        <w:rPr>
          <w:rFonts w:ascii="Times New Roman" w:hAnsi="Times New Roman" w:cs="Times New Roman"/>
          <w:sz w:val="24"/>
          <w:szCs w:val="24"/>
        </w:rPr>
        <w:lastRenderedPageBreak/>
        <w:t>хирургического эксперимента как наиболее близкая с точки зрения анатомического строения биологическая модель человека [</w:t>
      </w:r>
      <w:r w:rsidR="00C07AC9">
        <w:rPr>
          <w:rFonts w:ascii="Times New Roman" w:hAnsi="Times New Roman" w:cs="Times New Roman"/>
          <w:sz w:val="24"/>
          <w:szCs w:val="24"/>
        </w:rPr>
        <w:t>3</w:t>
      </w:r>
      <w:r w:rsidR="00784649" w:rsidRPr="00784649">
        <w:rPr>
          <w:rFonts w:ascii="Times New Roman" w:hAnsi="Times New Roman" w:cs="Times New Roman"/>
          <w:sz w:val="24"/>
          <w:szCs w:val="24"/>
        </w:rPr>
        <w:t xml:space="preserve">]. </w:t>
      </w:r>
      <w:r w:rsidR="003F215C" w:rsidRPr="003F215C">
        <w:rPr>
          <w:rFonts w:ascii="Times New Roman" w:hAnsi="Times New Roman" w:cs="Times New Roman"/>
          <w:sz w:val="24"/>
          <w:szCs w:val="24"/>
        </w:rPr>
        <w:t>Кроме того, толерантность тромбоцитов свиньи к различным лекарственным средствам близка к таковым у человека. Это обусловливает схожую реакцию со стороны клеточного гемостаза на изучаемые лекарственные вещества [</w:t>
      </w:r>
      <w:r w:rsidR="00557DB2" w:rsidRPr="00557DB2">
        <w:rPr>
          <w:rFonts w:ascii="Times New Roman" w:hAnsi="Times New Roman" w:cs="Times New Roman"/>
          <w:sz w:val="24"/>
          <w:szCs w:val="24"/>
        </w:rPr>
        <w:t>10</w:t>
      </w:r>
      <w:r w:rsidR="003F215C" w:rsidRPr="003F215C">
        <w:rPr>
          <w:rFonts w:ascii="Times New Roman" w:hAnsi="Times New Roman" w:cs="Times New Roman"/>
          <w:sz w:val="24"/>
          <w:szCs w:val="24"/>
        </w:rPr>
        <w:t xml:space="preserve">]. </w:t>
      </w:r>
      <w:r w:rsidRPr="00161F11">
        <w:rPr>
          <w:rFonts w:ascii="Times New Roman" w:hAnsi="Times New Roman" w:cs="Times New Roman"/>
          <w:sz w:val="24"/>
          <w:szCs w:val="24"/>
        </w:rPr>
        <w:t>Портальная гипертензия индуцирована хирургическим наложением медицинского хомута на печеночно-двенадцатиперстную связку. После двухнедельного периода развитие варикозно-расширенных вен пищевода (ВРВП) было подтверждено эндоскопически, после чего проводилась оценка гемостатической эффективности двух новых препаратов на основе биополимерного комплекса в сравнении с контролем.</w:t>
      </w:r>
    </w:p>
    <w:p w14:paraId="2B8C092E" w14:textId="02CA4053" w:rsidR="00225FD2" w:rsidRDefault="00A14417" w:rsidP="00557DB2">
      <w:pPr>
        <w:spacing w:line="240" w:lineRule="auto"/>
        <w:rPr>
          <w:rFonts w:ascii="Times New Roman" w:hAnsi="Times New Roman" w:cs="Times New Roman"/>
          <w:sz w:val="24"/>
          <w:szCs w:val="24"/>
        </w:rPr>
      </w:pPr>
      <w:r w:rsidRPr="00161F11">
        <w:rPr>
          <w:rFonts w:ascii="Times New Roman" w:hAnsi="Times New Roman" w:cs="Times New Roman"/>
          <w:sz w:val="24"/>
          <w:szCs w:val="24"/>
        </w:rPr>
        <w:t>Результаты: </w:t>
      </w:r>
      <w:r w:rsidR="00225FD2" w:rsidRPr="00161F11">
        <w:rPr>
          <w:rFonts w:ascii="Times New Roman" w:hAnsi="Times New Roman" w:cs="Times New Roman"/>
          <w:sz w:val="24"/>
          <w:szCs w:val="24"/>
        </w:rPr>
        <w:t xml:space="preserve">Созданная модель доказала свою высокую релевантность, эффективно воспроизведя ключевые эндоскопические признаки ВРВП. В ходе оценки гемостатической эффективности были получены статистически значимые различия между группами. </w:t>
      </w:r>
      <w:r w:rsidR="00557DB2" w:rsidRPr="00557DB2">
        <w:rPr>
          <w:rFonts w:ascii="Times New Roman" w:hAnsi="Times New Roman" w:cs="Times New Roman"/>
          <w:sz w:val="24"/>
          <w:szCs w:val="24"/>
        </w:rPr>
        <w:t>Время остановки кровотечения (</w:t>
      </w:r>
      <w:r w:rsidR="00557DB2" w:rsidRPr="00557DB2">
        <w:rPr>
          <w:rFonts w:ascii="Cambria Math" w:hAnsi="Cambria Math" w:cs="Cambria Math"/>
          <w:sz w:val="24"/>
          <w:szCs w:val="24"/>
        </w:rPr>
        <w:t>𝝉</w:t>
      </w:r>
      <w:r w:rsidR="00557DB2" w:rsidRPr="00557DB2">
        <w:rPr>
          <w:rFonts w:ascii="Cambria Math" w:hAnsi="Cambria Math" w:cs="Cambria Math"/>
          <w:sz w:val="24"/>
          <w:szCs w:val="24"/>
          <w:vertAlign w:val="subscript"/>
        </w:rPr>
        <w:t>𝑲</w:t>
      </w:r>
      <w:r w:rsidR="00557DB2" w:rsidRPr="00557DB2">
        <w:rPr>
          <w:rFonts w:ascii="Cambria Math" w:hAnsi="Cambria Math" w:cs="Cambria Math"/>
          <w:sz w:val="24"/>
          <w:szCs w:val="24"/>
        </w:rPr>
        <w:t>𝒊</w:t>
      </w:r>
      <w:r w:rsidR="00557DB2" w:rsidRPr="00557DB2">
        <w:rPr>
          <w:rFonts w:ascii="Times New Roman" w:hAnsi="Times New Roman" w:cs="Times New Roman"/>
          <w:sz w:val="24"/>
          <w:szCs w:val="24"/>
        </w:rPr>
        <w:t xml:space="preserve">) определяли по электронному секундомеру. Время остановки кровотечения определяли для каждой опытной точки. </w:t>
      </w:r>
      <w:r w:rsidR="00225FD2" w:rsidRPr="00161F11">
        <w:rPr>
          <w:rFonts w:ascii="Times New Roman" w:hAnsi="Times New Roman" w:cs="Times New Roman"/>
          <w:sz w:val="24"/>
          <w:szCs w:val="24"/>
        </w:rPr>
        <w:t>Наиболее впечатляющий результат продемонстрировал Состав 2, который обеспечивал полную остановку кровотечения в среднем за 10 секунд. Для сравнения, время гемостаза в группе с Составом 1 составило 30 секунд, а в контрольной группе — 35 секунд. Препарат на основе биополимерного комплекса (Состав 2) не только показал быстрое действие, но и визуально формировал стабильный, эластичный сгусток, надежно обтурирующий зону повреждения без признаков немедленной реактивной кровопотери.</w:t>
      </w:r>
    </w:p>
    <w:p w14:paraId="767A2851" w14:textId="4F4B84F7" w:rsidR="00161F11" w:rsidRDefault="00161F11" w:rsidP="00161F11">
      <w:pPr>
        <w:spacing w:line="240" w:lineRule="auto"/>
        <w:ind w:firstLine="709"/>
        <w:jc w:val="both"/>
        <w:rPr>
          <w:rFonts w:ascii="Times New Roman" w:hAnsi="Times New Roman" w:cs="Times New Roman"/>
          <w:sz w:val="24"/>
          <w:szCs w:val="24"/>
        </w:rPr>
      </w:pPr>
      <w:r w:rsidRPr="00161F11">
        <w:rPr>
          <w:rFonts w:ascii="Times New Roman" w:hAnsi="Times New Roman" w:cs="Times New Roman"/>
          <w:noProof/>
          <w:sz w:val="24"/>
          <w:szCs w:val="24"/>
        </w:rPr>
        <w:drawing>
          <wp:inline distT="0" distB="0" distL="0" distR="0" wp14:anchorId="540D3FF0" wp14:editId="11A9854C">
            <wp:extent cx="2571750" cy="2576222"/>
            <wp:effectExtent l="0" t="0" r="0" b="0"/>
            <wp:docPr id="13" name="Рисунок 12">
              <a:extLst xmlns:a="http://schemas.openxmlformats.org/drawingml/2006/main">
                <a:ext uri="{FF2B5EF4-FFF2-40B4-BE49-F238E27FC236}">
                  <a16:creationId xmlns:a16="http://schemas.microsoft.com/office/drawing/2014/main" id="{940AE057-F189-9AA3-000D-FAF237ED3D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id="{940AE057-F189-9AA3-000D-FAF237ED3D7F}"/>
                        </a:ext>
                      </a:extLst>
                    </pic:cNvPr>
                    <pic:cNvPicPr>
                      <a:picLocks noChangeAspect="1"/>
                    </pic:cNvPicPr>
                  </pic:nvPicPr>
                  <pic:blipFill>
                    <a:blip r:embed="rId5"/>
                    <a:stretch>
                      <a:fillRect/>
                    </a:stretch>
                  </pic:blipFill>
                  <pic:spPr>
                    <a:xfrm>
                      <a:off x="0" y="0"/>
                      <a:ext cx="2581929" cy="2586419"/>
                    </a:xfrm>
                    <a:prstGeom prst="rect">
                      <a:avLst/>
                    </a:prstGeom>
                  </pic:spPr>
                </pic:pic>
              </a:graphicData>
            </a:graphic>
          </wp:inline>
        </w:drawing>
      </w:r>
    </w:p>
    <w:p w14:paraId="4217EEF6" w14:textId="432138F8" w:rsidR="00161F11" w:rsidRPr="00161F11" w:rsidRDefault="00161F11" w:rsidP="00161F11">
      <w:pPr>
        <w:spacing w:line="240" w:lineRule="auto"/>
        <w:ind w:firstLine="709"/>
        <w:jc w:val="both"/>
        <w:rPr>
          <w:rFonts w:ascii="Times New Roman" w:hAnsi="Times New Roman" w:cs="Times New Roman"/>
          <w:sz w:val="24"/>
          <w:szCs w:val="24"/>
        </w:rPr>
      </w:pPr>
      <w:r w:rsidRPr="00161F11">
        <w:rPr>
          <w:rFonts w:ascii="Times New Roman" w:hAnsi="Times New Roman" w:cs="Times New Roman"/>
          <w:sz w:val="24"/>
          <w:szCs w:val="24"/>
        </w:rPr>
        <w:t xml:space="preserve">Рис </w:t>
      </w:r>
      <w:r>
        <w:rPr>
          <w:rFonts w:ascii="Times New Roman" w:hAnsi="Times New Roman" w:cs="Times New Roman"/>
          <w:sz w:val="24"/>
          <w:szCs w:val="24"/>
        </w:rPr>
        <w:t>1</w:t>
      </w:r>
      <w:r w:rsidRPr="00161F11">
        <w:rPr>
          <w:rFonts w:ascii="Times New Roman" w:hAnsi="Times New Roman" w:cs="Times New Roman"/>
          <w:sz w:val="24"/>
          <w:szCs w:val="24"/>
        </w:rPr>
        <w:t>. Установка медицинского хомута на печеночно-двенадцатиперстную связку</w:t>
      </w:r>
    </w:p>
    <w:p w14:paraId="1E5FC74D" w14:textId="24CD0B1E" w:rsidR="00161F11" w:rsidRDefault="00161F11" w:rsidP="00161F11">
      <w:pPr>
        <w:spacing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304288" wp14:editId="7BA31A66">
            <wp:extent cx="2631797" cy="2114550"/>
            <wp:effectExtent l="0" t="0" r="0" b="0"/>
            <wp:docPr id="16319796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9481" cy="2160897"/>
                    </a:xfrm>
                    <a:prstGeom prst="rect">
                      <a:avLst/>
                    </a:prstGeom>
                    <a:noFill/>
                  </pic:spPr>
                </pic:pic>
              </a:graphicData>
            </a:graphic>
          </wp:inline>
        </w:drawing>
      </w:r>
    </w:p>
    <w:p w14:paraId="3014F10F" w14:textId="4DBFB668" w:rsidR="00161F11" w:rsidRPr="00161F11" w:rsidRDefault="00161F11" w:rsidP="00161F11">
      <w:pPr>
        <w:spacing w:line="240" w:lineRule="auto"/>
        <w:ind w:firstLine="709"/>
        <w:jc w:val="both"/>
        <w:rPr>
          <w:rFonts w:ascii="Times New Roman" w:hAnsi="Times New Roman" w:cs="Times New Roman"/>
          <w:sz w:val="24"/>
          <w:szCs w:val="24"/>
        </w:rPr>
      </w:pPr>
      <w:r w:rsidRPr="00161F11">
        <w:rPr>
          <w:rFonts w:ascii="Times New Roman" w:hAnsi="Times New Roman" w:cs="Times New Roman"/>
          <w:sz w:val="24"/>
          <w:szCs w:val="24"/>
        </w:rPr>
        <w:t xml:space="preserve">Рис </w:t>
      </w:r>
      <w:r>
        <w:rPr>
          <w:rFonts w:ascii="Times New Roman" w:hAnsi="Times New Roman" w:cs="Times New Roman"/>
          <w:sz w:val="24"/>
          <w:szCs w:val="24"/>
        </w:rPr>
        <w:t>2</w:t>
      </w:r>
      <w:r w:rsidRPr="00161F11">
        <w:rPr>
          <w:rFonts w:ascii="Times New Roman" w:hAnsi="Times New Roman" w:cs="Times New Roman"/>
          <w:sz w:val="24"/>
          <w:szCs w:val="24"/>
        </w:rPr>
        <w:t>. Использование биополимерного комплекса для остановки кровотечения из варикозно расширенных вен у свиньи</w:t>
      </w:r>
    </w:p>
    <w:p w14:paraId="39AAEAD4" w14:textId="4EB762B8" w:rsidR="00F37E64" w:rsidRPr="00161F11" w:rsidRDefault="00A14417" w:rsidP="00161F11">
      <w:pPr>
        <w:spacing w:line="240" w:lineRule="auto"/>
        <w:ind w:firstLine="709"/>
        <w:jc w:val="both"/>
        <w:rPr>
          <w:rFonts w:ascii="Times New Roman" w:hAnsi="Times New Roman" w:cs="Times New Roman"/>
          <w:sz w:val="24"/>
          <w:szCs w:val="24"/>
        </w:rPr>
      </w:pPr>
      <w:r w:rsidRPr="00161F11">
        <w:rPr>
          <w:rFonts w:ascii="Times New Roman" w:hAnsi="Times New Roman" w:cs="Times New Roman"/>
          <w:sz w:val="24"/>
          <w:szCs w:val="24"/>
        </w:rPr>
        <w:lastRenderedPageBreak/>
        <w:t>Заключение: </w:t>
      </w:r>
    </w:p>
    <w:p w14:paraId="2AA90974" w14:textId="77777777" w:rsidR="00161F11" w:rsidRDefault="00225FD2" w:rsidP="00161F11">
      <w:pPr>
        <w:spacing w:line="240" w:lineRule="auto"/>
        <w:ind w:firstLine="709"/>
        <w:jc w:val="both"/>
        <w:rPr>
          <w:rFonts w:ascii="Times New Roman" w:hAnsi="Times New Roman" w:cs="Times New Roman"/>
          <w:sz w:val="24"/>
          <w:szCs w:val="24"/>
        </w:rPr>
      </w:pPr>
      <w:r w:rsidRPr="00161F11">
        <w:rPr>
          <w:rFonts w:ascii="Times New Roman" w:hAnsi="Times New Roman" w:cs="Times New Roman"/>
          <w:sz w:val="24"/>
          <w:szCs w:val="24"/>
        </w:rPr>
        <w:t>Проведенное исследование подтверждает несколько важных положений.</w:t>
      </w:r>
      <w:r w:rsidRPr="00161F11">
        <w:rPr>
          <w:rFonts w:ascii="Times New Roman" w:hAnsi="Times New Roman" w:cs="Times New Roman"/>
          <w:sz w:val="24"/>
          <w:szCs w:val="24"/>
        </w:rPr>
        <w:br/>
        <w:t>Полученные данные убедительно свидетельствуют о высокой дифференциальной эффективности новых биополимерных композиций. Особенно перспективным выглядит Состав 2, чья способность останавливать кровотечение втрое быстрее контроля представляет собой качественный скачок в разработке методов компрессионного гемостаза. Его механизм действия, основанный на быстрой адгезии и формировании биосовместимого барьера, теоретически позволяет избежать основных недостатков традиционной баллонной тампонады: риска аспирации, механической травмы и необходимости сложной фиксации устройства.</w:t>
      </w:r>
    </w:p>
    <w:p w14:paraId="400A2F15" w14:textId="0E3F3A37" w:rsidR="00225FD2" w:rsidRDefault="00225FD2" w:rsidP="00161F11">
      <w:pPr>
        <w:spacing w:line="240" w:lineRule="auto"/>
        <w:ind w:firstLine="709"/>
        <w:jc w:val="both"/>
        <w:rPr>
          <w:rFonts w:ascii="Times New Roman" w:hAnsi="Times New Roman" w:cs="Times New Roman"/>
          <w:sz w:val="24"/>
          <w:szCs w:val="24"/>
        </w:rPr>
      </w:pPr>
      <w:r w:rsidRPr="00161F11">
        <w:rPr>
          <w:rFonts w:ascii="Times New Roman" w:hAnsi="Times New Roman" w:cs="Times New Roman"/>
          <w:sz w:val="24"/>
          <w:szCs w:val="24"/>
        </w:rPr>
        <w:t>Таким образом, представленный биополимерный комплекс обладает значительным потенциалом для трансляции в клинику в качестве нового стандарта неотложной помощи при рефрактерных кровотечениях из ВРВП. Однако для окончательной валидации этих многообещающих результатов необходимы дальнейшие исследования на расширенной выборке животных, включающие оценку отдаленных последствий (длительность наблюдения), гистологический анализ состояния слизистой оболочки в зоне аппликации, а также изучение процессов биодеградации материала. Разработанная экспериментальная платформа является надежным фундаментом для этих исследований, направленных на решение одной из самых актуальных проблем неотложной хирургической гепатологии.</w:t>
      </w:r>
    </w:p>
    <w:p w14:paraId="0DD4E20B" w14:textId="77777777" w:rsidR="00FF436B" w:rsidRPr="00161F11" w:rsidRDefault="00FF436B" w:rsidP="00161F11">
      <w:pPr>
        <w:spacing w:line="240" w:lineRule="auto"/>
        <w:ind w:firstLine="709"/>
        <w:jc w:val="both"/>
        <w:rPr>
          <w:rFonts w:ascii="Times New Roman" w:hAnsi="Times New Roman" w:cs="Times New Roman"/>
          <w:sz w:val="24"/>
          <w:szCs w:val="24"/>
        </w:rPr>
      </w:pPr>
    </w:p>
    <w:p w14:paraId="1FDA1343" w14:textId="77777777" w:rsidR="00FF436B" w:rsidRDefault="00FF436B" w:rsidP="00FF436B">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Список литературы</w:t>
      </w:r>
    </w:p>
    <w:p w14:paraId="0C21AC63" w14:textId="77777777" w:rsidR="00FF436B" w:rsidRPr="00D14819" w:rsidRDefault="00FF436B" w:rsidP="00FF436B">
      <w:pPr>
        <w:spacing w:after="0" w:line="240" w:lineRule="auto"/>
        <w:jc w:val="center"/>
        <w:rPr>
          <w:rFonts w:ascii="Times New Roman" w:eastAsia="Times New Roman" w:hAnsi="Times New Roman" w:cs="Times New Roman"/>
          <w:lang w:eastAsia="ru-RU"/>
        </w:rPr>
      </w:pPr>
    </w:p>
    <w:p w14:paraId="78D0D3DC" w14:textId="5A07E0E7" w:rsidR="00557DB2" w:rsidRPr="00D14819" w:rsidRDefault="001B3A07" w:rsidP="00557DB2">
      <w:pPr>
        <w:pStyle w:val="ac"/>
        <w:numPr>
          <w:ilvl w:val="0"/>
          <w:numId w:val="3"/>
        </w:numPr>
        <w:spacing w:line="240" w:lineRule="auto"/>
        <w:jc w:val="both"/>
        <w:rPr>
          <w:rFonts w:ascii="Times New Roman" w:hAnsi="Times New Roman" w:cs="Times New Roman"/>
          <w:sz w:val="24"/>
          <w:szCs w:val="24"/>
          <w:shd w:val="clear" w:color="auto" w:fill="FFFFFF"/>
        </w:rPr>
      </w:pPr>
      <w:r w:rsidRPr="00D14819">
        <w:rPr>
          <w:rFonts w:ascii="Times New Roman" w:hAnsi="Times New Roman" w:cs="Times New Roman"/>
          <w:sz w:val="24"/>
          <w:szCs w:val="24"/>
        </w:rPr>
        <w:t>Анисимов Ю.А. От компрессии к адресному гемостазу. Инновационные решения для остановки кровотечения из варикозных вен пищевода / А.А. Дадоходжаев, А.Ю. Анисимов // Ключевые точки оптимизации скорой, экстренной и неотложной медицинской помощи в РФ: Материалы 7-го съезда врачей неотложной медицины. - Москва: НПО ВНМ, НИИ скорой помощи им. Н.В. Склифосовского ДЗМ, 2025. - Труды института, Т. 266. - С. 54-55.</w:t>
      </w:r>
    </w:p>
    <w:p w14:paraId="7E5CA87D" w14:textId="55F1DB48" w:rsidR="00557DB2" w:rsidRPr="00D14819" w:rsidRDefault="001B3A07" w:rsidP="00557DB2">
      <w:pPr>
        <w:pStyle w:val="a7"/>
        <w:numPr>
          <w:ilvl w:val="0"/>
          <w:numId w:val="3"/>
        </w:numPr>
        <w:spacing w:after="0" w:line="240" w:lineRule="auto"/>
        <w:jc w:val="both"/>
        <w:rPr>
          <w:rFonts w:ascii="Times New Roman" w:hAnsi="Times New Roman" w:cs="Times New Roman"/>
          <w:sz w:val="24"/>
          <w:szCs w:val="24"/>
        </w:rPr>
      </w:pPr>
      <w:r w:rsidRPr="00D14819">
        <w:rPr>
          <w:rFonts w:ascii="Times New Roman" w:hAnsi="Times New Roman" w:cs="Times New Roman"/>
          <w:sz w:val="24"/>
          <w:szCs w:val="24"/>
        </w:rPr>
        <w:t>Богдан</w:t>
      </w:r>
      <w:r w:rsidRPr="00D14819">
        <w:rPr>
          <w:rFonts w:ascii="Times New Roman" w:hAnsi="Times New Roman" w:cs="Times New Roman"/>
          <w:spacing w:val="-3"/>
          <w:sz w:val="24"/>
          <w:szCs w:val="24"/>
        </w:rPr>
        <w:t xml:space="preserve"> </w:t>
      </w:r>
      <w:r w:rsidRPr="00D14819">
        <w:rPr>
          <w:rFonts w:ascii="Times New Roman" w:hAnsi="Times New Roman" w:cs="Times New Roman"/>
          <w:sz w:val="24"/>
          <w:szCs w:val="24"/>
        </w:rPr>
        <w:t>В.</w:t>
      </w:r>
      <w:r w:rsidRPr="00D14819">
        <w:rPr>
          <w:rFonts w:ascii="Times New Roman" w:hAnsi="Times New Roman" w:cs="Times New Roman"/>
          <w:spacing w:val="-4"/>
          <w:sz w:val="24"/>
          <w:szCs w:val="24"/>
        </w:rPr>
        <w:t xml:space="preserve"> </w:t>
      </w:r>
      <w:r w:rsidRPr="00D14819">
        <w:rPr>
          <w:rFonts w:ascii="Times New Roman" w:hAnsi="Times New Roman" w:cs="Times New Roman"/>
          <w:sz w:val="24"/>
          <w:szCs w:val="24"/>
        </w:rPr>
        <w:t>Г.</w:t>
      </w:r>
      <w:r w:rsidRPr="00D14819">
        <w:rPr>
          <w:rFonts w:ascii="Times New Roman" w:hAnsi="Times New Roman" w:cs="Times New Roman"/>
          <w:spacing w:val="-7"/>
          <w:sz w:val="24"/>
          <w:szCs w:val="24"/>
        </w:rPr>
        <w:t xml:space="preserve"> </w:t>
      </w:r>
      <w:r w:rsidRPr="00D14819">
        <w:rPr>
          <w:rFonts w:ascii="Times New Roman" w:hAnsi="Times New Roman" w:cs="Times New Roman"/>
          <w:sz w:val="24"/>
          <w:szCs w:val="24"/>
        </w:rPr>
        <w:t>Проблема</w:t>
      </w:r>
      <w:r w:rsidRPr="00D14819">
        <w:rPr>
          <w:rFonts w:ascii="Times New Roman" w:hAnsi="Times New Roman" w:cs="Times New Roman"/>
          <w:spacing w:val="-9"/>
          <w:sz w:val="24"/>
          <w:szCs w:val="24"/>
        </w:rPr>
        <w:t xml:space="preserve"> </w:t>
      </w:r>
      <w:r w:rsidRPr="00D14819">
        <w:rPr>
          <w:rFonts w:ascii="Times New Roman" w:hAnsi="Times New Roman" w:cs="Times New Roman"/>
          <w:sz w:val="24"/>
          <w:szCs w:val="24"/>
        </w:rPr>
        <w:t>острой</w:t>
      </w:r>
      <w:r w:rsidRPr="00D14819">
        <w:rPr>
          <w:rFonts w:ascii="Times New Roman" w:hAnsi="Times New Roman" w:cs="Times New Roman"/>
          <w:spacing w:val="-6"/>
          <w:sz w:val="24"/>
          <w:szCs w:val="24"/>
        </w:rPr>
        <w:t xml:space="preserve"> </w:t>
      </w:r>
      <w:r w:rsidRPr="00D14819">
        <w:rPr>
          <w:rFonts w:ascii="Times New Roman" w:hAnsi="Times New Roman" w:cs="Times New Roman"/>
          <w:sz w:val="24"/>
          <w:szCs w:val="24"/>
        </w:rPr>
        <w:t>кровопотери</w:t>
      </w:r>
      <w:r w:rsidRPr="00D14819">
        <w:rPr>
          <w:rFonts w:ascii="Times New Roman" w:hAnsi="Times New Roman" w:cs="Times New Roman"/>
          <w:spacing w:val="-6"/>
          <w:sz w:val="24"/>
          <w:szCs w:val="24"/>
        </w:rPr>
        <w:t xml:space="preserve"> </w:t>
      </w:r>
      <w:r w:rsidRPr="00D14819">
        <w:rPr>
          <w:rFonts w:ascii="Times New Roman" w:hAnsi="Times New Roman" w:cs="Times New Roman"/>
          <w:sz w:val="24"/>
          <w:szCs w:val="24"/>
        </w:rPr>
        <w:t>в</w:t>
      </w:r>
      <w:r w:rsidRPr="00D14819">
        <w:rPr>
          <w:rFonts w:ascii="Times New Roman" w:hAnsi="Times New Roman" w:cs="Times New Roman"/>
          <w:spacing w:val="-7"/>
          <w:sz w:val="24"/>
          <w:szCs w:val="24"/>
        </w:rPr>
        <w:t xml:space="preserve"> </w:t>
      </w:r>
      <w:r w:rsidRPr="00D14819">
        <w:rPr>
          <w:rFonts w:ascii="Times New Roman" w:hAnsi="Times New Roman" w:cs="Times New Roman"/>
          <w:sz w:val="24"/>
          <w:szCs w:val="24"/>
        </w:rPr>
        <w:t>хирургии.</w:t>
      </w:r>
      <w:r w:rsidRPr="00D14819">
        <w:rPr>
          <w:rFonts w:ascii="Times New Roman" w:hAnsi="Times New Roman" w:cs="Times New Roman"/>
          <w:spacing w:val="-3"/>
          <w:sz w:val="24"/>
          <w:szCs w:val="24"/>
        </w:rPr>
        <w:t xml:space="preserve"> </w:t>
      </w:r>
      <w:r w:rsidRPr="00D14819">
        <w:rPr>
          <w:rFonts w:ascii="Times New Roman" w:hAnsi="Times New Roman" w:cs="Times New Roman"/>
          <w:sz w:val="24"/>
          <w:szCs w:val="24"/>
        </w:rPr>
        <w:t>Сообщение</w:t>
      </w:r>
      <w:r w:rsidRPr="00D14819">
        <w:rPr>
          <w:rFonts w:ascii="Times New Roman" w:hAnsi="Times New Roman" w:cs="Times New Roman"/>
          <w:spacing w:val="-6"/>
          <w:sz w:val="24"/>
          <w:szCs w:val="24"/>
        </w:rPr>
        <w:t xml:space="preserve"> </w:t>
      </w:r>
      <w:r w:rsidRPr="00D14819">
        <w:rPr>
          <w:rFonts w:ascii="Times New Roman" w:hAnsi="Times New Roman" w:cs="Times New Roman"/>
          <w:sz w:val="24"/>
          <w:szCs w:val="24"/>
        </w:rPr>
        <w:t>4.</w:t>
      </w:r>
      <w:r w:rsidRPr="00D14819">
        <w:rPr>
          <w:rFonts w:ascii="Times New Roman" w:hAnsi="Times New Roman" w:cs="Times New Roman"/>
          <w:spacing w:val="-7"/>
          <w:sz w:val="24"/>
          <w:szCs w:val="24"/>
        </w:rPr>
        <w:t xml:space="preserve"> </w:t>
      </w:r>
      <w:r w:rsidRPr="00D14819">
        <w:rPr>
          <w:rFonts w:ascii="Times New Roman" w:hAnsi="Times New Roman" w:cs="Times New Roman"/>
          <w:sz w:val="24"/>
          <w:szCs w:val="24"/>
        </w:rPr>
        <w:t>Способы окончательной остановки кровотечения / В. Г.</w:t>
      </w:r>
      <w:r w:rsidRPr="00D14819">
        <w:rPr>
          <w:rFonts w:ascii="Times New Roman" w:hAnsi="Times New Roman" w:cs="Times New Roman"/>
          <w:spacing w:val="-3"/>
          <w:sz w:val="24"/>
          <w:szCs w:val="24"/>
        </w:rPr>
        <w:t xml:space="preserve"> </w:t>
      </w:r>
      <w:r w:rsidRPr="00D14819">
        <w:rPr>
          <w:rFonts w:ascii="Times New Roman" w:hAnsi="Times New Roman" w:cs="Times New Roman"/>
          <w:sz w:val="24"/>
          <w:szCs w:val="24"/>
        </w:rPr>
        <w:t>Богдан, Ю.</w:t>
      </w:r>
      <w:r w:rsidRPr="00D14819">
        <w:rPr>
          <w:rFonts w:ascii="Times New Roman" w:hAnsi="Times New Roman" w:cs="Times New Roman"/>
          <w:spacing w:val="-1"/>
          <w:sz w:val="24"/>
          <w:szCs w:val="24"/>
        </w:rPr>
        <w:t xml:space="preserve"> </w:t>
      </w:r>
      <w:r w:rsidRPr="00D14819">
        <w:rPr>
          <w:rFonts w:ascii="Times New Roman" w:hAnsi="Times New Roman" w:cs="Times New Roman"/>
          <w:sz w:val="24"/>
          <w:szCs w:val="24"/>
        </w:rPr>
        <w:t>М.</w:t>
      </w:r>
      <w:r w:rsidRPr="00D14819">
        <w:rPr>
          <w:rFonts w:ascii="Times New Roman" w:hAnsi="Times New Roman" w:cs="Times New Roman"/>
          <w:spacing w:val="-3"/>
          <w:sz w:val="24"/>
          <w:szCs w:val="24"/>
        </w:rPr>
        <w:t xml:space="preserve"> </w:t>
      </w:r>
      <w:r w:rsidRPr="00D14819">
        <w:rPr>
          <w:rFonts w:ascii="Times New Roman" w:hAnsi="Times New Roman" w:cs="Times New Roman"/>
          <w:sz w:val="24"/>
          <w:szCs w:val="24"/>
        </w:rPr>
        <w:t>Гайн // Военная медицина – 2007. – № 2 – С. 28–32.</w:t>
      </w:r>
      <w:r w:rsidR="00557DB2" w:rsidRPr="00D14819">
        <w:rPr>
          <w:rFonts w:ascii="Times New Roman" w:hAnsi="Times New Roman" w:cs="Times New Roman"/>
          <w:sz w:val="24"/>
          <w:szCs w:val="24"/>
        </w:rPr>
        <w:t xml:space="preserve"> </w:t>
      </w:r>
    </w:p>
    <w:p w14:paraId="2AE590BC" w14:textId="3A764A99" w:rsidR="00557DB2" w:rsidRPr="00D14819" w:rsidRDefault="001B3A07" w:rsidP="00557DB2">
      <w:pPr>
        <w:pStyle w:val="ac"/>
        <w:numPr>
          <w:ilvl w:val="0"/>
          <w:numId w:val="3"/>
        </w:numPr>
        <w:spacing w:line="240" w:lineRule="auto"/>
        <w:jc w:val="both"/>
        <w:rPr>
          <w:rFonts w:ascii="Times New Roman" w:hAnsi="Times New Roman" w:cs="Times New Roman"/>
          <w:sz w:val="24"/>
          <w:szCs w:val="24"/>
        </w:rPr>
      </w:pPr>
      <w:r w:rsidRPr="00D14819">
        <w:rPr>
          <w:rFonts w:ascii="Times New Roman" w:eastAsia="Times New Roman" w:hAnsi="Times New Roman" w:cs="Times New Roman"/>
          <w:sz w:val="24"/>
          <w:szCs w:val="24"/>
          <w:lang w:eastAsia="ru-RU"/>
        </w:rPr>
        <w:t>Евдокимов С.В., Баулин А.В., Баулин А.В., Евдокимов М.Е., Серов Е.С., Баряев Г.И., Головин И.А., Ефимова И.В., Середин А.С. Некоторые особенности организации хирургических экспериментов на свиньях. Достижения в области современных естественных наук. 2015;1(5):756-759.</w:t>
      </w:r>
    </w:p>
    <w:p w14:paraId="43EE4B7F" w14:textId="6718A992" w:rsidR="00557DB2" w:rsidRPr="00D14819" w:rsidRDefault="001B3A07" w:rsidP="00557DB2">
      <w:pPr>
        <w:pStyle w:val="ac"/>
        <w:numPr>
          <w:ilvl w:val="0"/>
          <w:numId w:val="3"/>
        </w:numPr>
        <w:spacing w:line="240" w:lineRule="auto"/>
        <w:jc w:val="both"/>
        <w:rPr>
          <w:rFonts w:ascii="Times New Roman" w:hAnsi="Times New Roman" w:cs="Times New Roman"/>
          <w:sz w:val="24"/>
          <w:szCs w:val="24"/>
        </w:rPr>
      </w:pPr>
      <w:r w:rsidRPr="00D14819">
        <w:rPr>
          <w:rFonts w:ascii="Times New Roman" w:hAnsi="Times New Roman" w:cs="Times New Roman"/>
          <w:sz w:val="24"/>
          <w:szCs w:val="24"/>
          <w:shd w:val="clear" w:color="auto" w:fill="FFFFFF"/>
        </w:rPr>
        <w:t>Манукьян Г.В., Шерцингер А.Г., Жигалова С.Б., Семенова Т.С., Мартиросян Р.А. Первичная профилактика кровотечений из варикозно расширенных вен пищевода и желудка у больных портальной гипертензией (обзор литературы). Анналы хирургической гепатологии. 2016;21(2):93–104. doi: 10.16931/1995-5464.2016293-104.</w:t>
      </w:r>
    </w:p>
    <w:p w14:paraId="10285427" w14:textId="105AAB66" w:rsidR="00557DB2" w:rsidRPr="00D14819" w:rsidRDefault="00557DB2" w:rsidP="00557DB2">
      <w:pPr>
        <w:pStyle w:val="a7"/>
        <w:numPr>
          <w:ilvl w:val="0"/>
          <w:numId w:val="3"/>
        </w:numPr>
        <w:spacing w:after="0" w:line="240" w:lineRule="auto"/>
        <w:jc w:val="both"/>
        <w:rPr>
          <w:rFonts w:ascii="Times New Roman" w:hAnsi="Times New Roman" w:cs="Times New Roman"/>
          <w:sz w:val="24"/>
          <w:szCs w:val="24"/>
        </w:rPr>
      </w:pPr>
      <w:r w:rsidRPr="00D14819">
        <w:rPr>
          <w:rFonts w:ascii="Times New Roman" w:hAnsi="Times New Roman" w:cs="Times New Roman"/>
          <w:sz w:val="24"/>
          <w:szCs w:val="24"/>
          <w:shd w:val="clear" w:color="auto" w:fill="FFFFFF"/>
        </w:rPr>
        <w:t>Шерцингер А.Г., Чжао А.В., Ивашкин В.Т., Маевская М.В., Павлов Ч. С., Верткин А.Л., и др. Лечение кровотечений из варикозно расширенных вен пищевода и желудка. Анналы хирургической гепатологии. 2013;18(3):110–129.</w:t>
      </w:r>
    </w:p>
    <w:p w14:paraId="76311064" w14:textId="6FFD9999" w:rsidR="00557DB2" w:rsidRPr="00D14819" w:rsidRDefault="001B3A07" w:rsidP="00557DB2">
      <w:pPr>
        <w:pStyle w:val="a7"/>
        <w:numPr>
          <w:ilvl w:val="0"/>
          <w:numId w:val="3"/>
        </w:numPr>
        <w:spacing w:after="0" w:line="240" w:lineRule="auto"/>
        <w:jc w:val="both"/>
        <w:rPr>
          <w:rFonts w:ascii="Times New Roman" w:hAnsi="Times New Roman" w:cs="Times New Roman"/>
          <w:sz w:val="24"/>
          <w:szCs w:val="24"/>
        </w:rPr>
      </w:pPr>
      <w:r w:rsidRPr="00D14819">
        <w:rPr>
          <w:rFonts w:ascii="Times New Roman" w:hAnsi="Times New Roman" w:cs="Times New Roman"/>
          <w:sz w:val="24"/>
          <w:szCs w:val="24"/>
          <w:shd w:val="clear" w:color="auto" w:fill="FFFFFF"/>
          <w:lang w:val="en-US"/>
        </w:rPr>
        <w:t>Bosch J, Berzigotti A, Garcia-Pagan JC, Abraldes JG. The management of portal hypertension: rational basis, available treatments and future options. J Hepatol. 2008; 48(Suppl1):S68–S92. doi: 10.1016/j.jhep.2008.01.021 PMID: 18304681</w:t>
      </w:r>
      <w:r w:rsidRPr="00D14819">
        <w:rPr>
          <w:rFonts w:ascii="Times New Roman" w:hAnsi="Times New Roman" w:cs="Times New Roman"/>
          <w:sz w:val="24"/>
          <w:szCs w:val="24"/>
          <w:lang w:val="en-US"/>
        </w:rPr>
        <w:t xml:space="preserve"> </w:t>
      </w:r>
      <w:r w:rsidR="00557DB2" w:rsidRPr="00D14819">
        <w:rPr>
          <w:rFonts w:ascii="Times New Roman" w:hAnsi="Times New Roman" w:cs="Times New Roman"/>
          <w:sz w:val="24"/>
          <w:szCs w:val="24"/>
        </w:rPr>
        <w:t xml:space="preserve"> </w:t>
      </w:r>
    </w:p>
    <w:p w14:paraId="1138B4AB" w14:textId="1CC36A22" w:rsidR="00557DB2" w:rsidRPr="00D14819" w:rsidRDefault="0038649D" w:rsidP="00557DB2">
      <w:pPr>
        <w:pStyle w:val="ac"/>
        <w:numPr>
          <w:ilvl w:val="0"/>
          <w:numId w:val="3"/>
        </w:numPr>
        <w:spacing w:line="240" w:lineRule="auto"/>
        <w:jc w:val="both"/>
        <w:rPr>
          <w:rFonts w:ascii="Times New Roman" w:hAnsi="Times New Roman" w:cs="Times New Roman"/>
          <w:sz w:val="24"/>
          <w:szCs w:val="24"/>
          <w:lang w:val="en-US"/>
        </w:rPr>
      </w:pPr>
      <w:r w:rsidRPr="00D14819">
        <w:rPr>
          <w:rFonts w:ascii="Times New Roman" w:hAnsi="Times New Roman" w:cs="Times New Roman"/>
          <w:sz w:val="24"/>
          <w:szCs w:val="24"/>
          <w:lang w:val="en-US"/>
        </w:rPr>
        <w:t>D’Amico G, de Franchis R. Upper digestive bleeding in cirrhosis: post-therapeutic outcome and prognostic indicators. Hepatology 2003;38:599–612</w:t>
      </w:r>
      <w:r w:rsidRPr="00D14819">
        <w:rPr>
          <w:rFonts w:ascii="Times New Roman" w:hAnsi="Times New Roman" w:cs="Times New Roman"/>
          <w:sz w:val="24"/>
          <w:szCs w:val="24"/>
          <w:shd w:val="clear" w:color="auto" w:fill="FFFFFF"/>
          <w:lang w:val="en-US"/>
        </w:rPr>
        <w:t xml:space="preserve"> doi: 10.1053/jhep.2003.50385. PMID: 12939586</w:t>
      </w:r>
      <w:r w:rsidRPr="00D14819">
        <w:rPr>
          <w:rFonts w:ascii="Times New Roman" w:hAnsi="Times New Roman" w:cs="Times New Roman"/>
          <w:sz w:val="24"/>
          <w:szCs w:val="24"/>
          <w:lang w:val="en-US"/>
        </w:rPr>
        <w:t>].</w:t>
      </w:r>
    </w:p>
    <w:p w14:paraId="2B3BBCB1" w14:textId="0FCB6E93" w:rsidR="00FF436B" w:rsidRPr="00D14819" w:rsidRDefault="001B3A07" w:rsidP="00557DB2">
      <w:pPr>
        <w:pStyle w:val="a7"/>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14819">
        <w:rPr>
          <w:rFonts w:ascii="Times New Roman" w:hAnsi="Times New Roman" w:cs="Times New Roman"/>
          <w:sz w:val="24"/>
          <w:szCs w:val="24"/>
          <w:shd w:val="clear" w:color="auto" w:fill="FFFFFF"/>
          <w:lang w:val="en-US"/>
        </w:rPr>
        <w:lastRenderedPageBreak/>
        <w:t xml:space="preserve">De Franchis R, Baveno VI Faculty. Expanding consensus in portal hypertension: report of the Baveno VI Consensus Workshop: stratifying risk and individualizing care for portal hypertension. </w:t>
      </w:r>
      <w:r w:rsidRPr="00D14819">
        <w:rPr>
          <w:rFonts w:ascii="Times New Roman" w:hAnsi="Times New Roman" w:cs="Times New Roman"/>
          <w:sz w:val="24"/>
          <w:szCs w:val="24"/>
          <w:shd w:val="clear" w:color="auto" w:fill="FFFFFF"/>
        </w:rPr>
        <w:t>J Hepatol. 2015;63(3):743–752. doi: 10.1016/j.jhep.2015.05.022 PMID: 26047908</w:t>
      </w:r>
      <w:r w:rsidRPr="00D14819">
        <w:rPr>
          <w:rFonts w:ascii="Times New Roman" w:hAnsi="Times New Roman" w:cs="Times New Roman"/>
          <w:sz w:val="24"/>
          <w:szCs w:val="24"/>
        </w:rPr>
        <w:t>].</w:t>
      </w:r>
    </w:p>
    <w:p w14:paraId="4051883B" w14:textId="0A5DB72D" w:rsidR="00557DB2" w:rsidRPr="00D14819" w:rsidRDefault="001B3A07" w:rsidP="00557DB2">
      <w:pPr>
        <w:pStyle w:val="a7"/>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ru-RU"/>
        </w:rPr>
      </w:pPr>
      <w:r w:rsidRPr="00D14819">
        <w:rPr>
          <w:rFonts w:ascii="Times New Roman" w:hAnsi="Times New Roman" w:cs="Times New Roman"/>
          <w:sz w:val="24"/>
          <w:szCs w:val="24"/>
          <w:lang w:val="en-US"/>
        </w:rPr>
        <w:t>Garcia-Tsao G, Abraldes JG, Berzigotti A, Bosch J. Portal hypertensive bleeding in cirrhosis: Risk stratification, diagnosis, and management: 2016 practice guidance by the American Association for the study of liver diseases. Hepatology. 2017;65(1):310–335. PMID: 27786365 https://doi. org/10.1002/hep.28906].</w:t>
      </w:r>
    </w:p>
    <w:p w14:paraId="6D835714" w14:textId="362576F8" w:rsidR="00A14417" w:rsidRPr="00D14819" w:rsidRDefault="00557DB2" w:rsidP="00D14819">
      <w:pPr>
        <w:pStyle w:val="a7"/>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14819">
        <w:rPr>
          <w:rFonts w:ascii="Times New Roman" w:eastAsia="Times New Roman" w:hAnsi="Times New Roman" w:cs="Times New Roman"/>
          <w:sz w:val="24"/>
          <w:szCs w:val="24"/>
          <w:lang w:val="en-US" w:eastAsia="ru-RU"/>
        </w:rPr>
        <w:t xml:space="preserve">Swindle MM, Makin A, Herron AJ, Clubb FJ Jr, Frazier KS. Swine as models in biomedical research and toxicology testing. Vet Pathol. </w:t>
      </w:r>
      <w:r w:rsidRPr="00D14819">
        <w:rPr>
          <w:rFonts w:ascii="Times New Roman" w:eastAsia="Times New Roman" w:hAnsi="Times New Roman" w:cs="Times New Roman"/>
          <w:sz w:val="24"/>
          <w:szCs w:val="24"/>
          <w:lang w:eastAsia="ru-RU"/>
        </w:rPr>
        <w:t xml:space="preserve">2012;49(2):344-56. </w:t>
      </w:r>
      <w:r w:rsidRPr="00D14819">
        <w:rPr>
          <w:rFonts w:ascii="Times New Roman" w:eastAsia="Times New Roman" w:hAnsi="Times New Roman" w:cs="Times New Roman"/>
          <w:sz w:val="24"/>
          <w:szCs w:val="24"/>
          <w:lang w:val="en-US" w:eastAsia="ru-RU"/>
        </w:rPr>
        <w:t>doi</w:t>
      </w:r>
      <w:r w:rsidRPr="00D14819">
        <w:rPr>
          <w:rFonts w:ascii="Times New Roman" w:eastAsia="Times New Roman" w:hAnsi="Times New Roman" w:cs="Times New Roman"/>
          <w:sz w:val="24"/>
          <w:szCs w:val="24"/>
          <w:lang w:eastAsia="ru-RU"/>
        </w:rPr>
        <w:t xml:space="preserve">: 10.1177/0300985811402846. </w:t>
      </w:r>
      <w:r w:rsidRPr="00D14819">
        <w:rPr>
          <w:rFonts w:ascii="Times New Roman" w:eastAsia="Times New Roman" w:hAnsi="Times New Roman" w:cs="Times New Roman"/>
          <w:sz w:val="24"/>
          <w:szCs w:val="24"/>
          <w:lang w:val="en-US" w:eastAsia="ru-RU"/>
        </w:rPr>
        <w:t>Erratum</w:t>
      </w:r>
      <w:r w:rsidRPr="00D14819">
        <w:rPr>
          <w:rFonts w:ascii="Times New Roman" w:eastAsia="Times New Roman" w:hAnsi="Times New Roman" w:cs="Times New Roman"/>
          <w:sz w:val="24"/>
          <w:szCs w:val="24"/>
          <w:lang w:eastAsia="ru-RU"/>
        </w:rPr>
        <w:t xml:space="preserve"> </w:t>
      </w:r>
      <w:r w:rsidRPr="00D14819">
        <w:rPr>
          <w:rFonts w:ascii="Times New Roman" w:eastAsia="Times New Roman" w:hAnsi="Times New Roman" w:cs="Times New Roman"/>
          <w:sz w:val="24"/>
          <w:szCs w:val="24"/>
          <w:lang w:val="en-US" w:eastAsia="ru-RU"/>
        </w:rPr>
        <w:t>in</w:t>
      </w:r>
      <w:r w:rsidRPr="00D14819">
        <w:rPr>
          <w:rFonts w:ascii="Times New Roman" w:eastAsia="Times New Roman" w:hAnsi="Times New Roman" w:cs="Times New Roman"/>
          <w:sz w:val="24"/>
          <w:szCs w:val="24"/>
          <w:lang w:eastAsia="ru-RU"/>
        </w:rPr>
        <w:t xml:space="preserve">: </w:t>
      </w:r>
      <w:r w:rsidRPr="00D14819">
        <w:rPr>
          <w:rFonts w:ascii="Times New Roman" w:eastAsia="Times New Roman" w:hAnsi="Times New Roman" w:cs="Times New Roman"/>
          <w:sz w:val="24"/>
          <w:szCs w:val="24"/>
          <w:lang w:val="en-US" w:eastAsia="ru-RU"/>
        </w:rPr>
        <w:t>Vet</w:t>
      </w:r>
      <w:r w:rsidRPr="00D14819">
        <w:rPr>
          <w:rFonts w:ascii="Times New Roman" w:eastAsia="Times New Roman" w:hAnsi="Times New Roman" w:cs="Times New Roman"/>
          <w:sz w:val="24"/>
          <w:szCs w:val="24"/>
          <w:lang w:eastAsia="ru-RU"/>
        </w:rPr>
        <w:t xml:space="preserve"> </w:t>
      </w:r>
      <w:r w:rsidRPr="00D14819">
        <w:rPr>
          <w:rFonts w:ascii="Times New Roman" w:eastAsia="Times New Roman" w:hAnsi="Times New Roman" w:cs="Times New Roman"/>
          <w:sz w:val="24"/>
          <w:szCs w:val="24"/>
          <w:lang w:val="en-US" w:eastAsia="ru-RU"/>
        </w:rPr>
        <w:t>Pathol</w:t>
      </w:r>
      <w:r w:rsidRPr="00D14819">
        <w:rPr>
          <w:rFonts w:ascii="Times New Roman" w:eastAsia="Times New Roman" w:hAnsi="Times New Roman" w:cs="Times New Roman"/>
          <w:sz w:val="24"/>
          <w:szCs w:val="24"/>
          <w:lang w:eastAsia="ru-RU"/>
        </w:rPr>
        <w:t xml:space="preserve">. 2012;49(4):738. </w:t>
      </w:r>
      <w:r w:rsidRPr="00D14819">
        <w:rPr>
          <w:rFonts w:ascii="Times New Roman" w:eastAsia="Times New Roman" w:hAnsi="Times New Roman" w:cs="Times New Roman"/>
          <w:sz w:val="24"/>
          <w:szCs w:val="24"/>
          <w:lang w:val="en-US" w:eastAsia="ru-RU"/>
        </w:rPr>
        <w:t>PMID</w:t>
      </w:r>
      <w:r w:rsidRPr="00D14819">
        <w:rPr>
          <w:rFonts w:ascii="Times New Roman" w:eastAsia="Times New Roman" w:hAnsi="Times New Roman" w:cs="Times New Roman"/>
          <w:sz w:val="24"/>
          <w:szCs w:val="24"/>
          <w:lang w:eastAsia="ru-RU"/>
        </w:rPr>
        <w:t>: 21441112</w:t>
      </w:r>
    </w:p>
    <w:sectPr w:rsidR="00A14417" w:rsidRPr="00D14819" w:rsidSect="00161F1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37E15"/>
    <w:multiLevelType w:val="multilevel"/>
    <w:tmpl w:val="77D47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B43E0A"/>
    <w:multiLevelType w:val="multilevel"/>
    <w:tmpl w:val="76ECC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253017"/>
    <w:multiLevelType w:val="hybridMultilevel"/>
    <w:tmpl w:val="E7424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715156089">
    <w:abstractNumId w:val="2"/>
  </w:num>
  <w:num w:numId="2" w16cid:durableId="2010864833">
    <w:abstractNumId w:val="0"/>
  </w:num>
  <w:num w:numId="3" w16cid:durableId="4968484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417"/>
    <w:rsid w:val="00065964"/>
    <w:rsid w:val="00161F11"/>
    <w:rsid w:val="001B3A07"/>
    <w:rsid w:val="00225FD2"/>
    <w:rsid w:val="00365EE4"/>
    <w:rsid w:val="0038649D"/>
    <w:rsid w:val="003F215C"/>
    <w:rsid w:val="00557DB2"/>
    <w:rsid w:val="006E496D"/>
    <w:rsid w:val="00755C37"/>
    <w:rsid w:val="00767FD8"/>
    <w:rsid w:val="00784649"/>
    <w:rsid w:val="00822BAC"/>
    <w:rsid w:val="00880649"/>
    <w:rsid w:val="008F4FF3"/>
    <w:rsid w:val="00A14417"/>
    <w:rsid w:val="00B526A0"/>
    <w:rsid w:val="00B9498C"/>
    <w:rsid w:val="00C07AC9"/>
    <w:rsid w:val="00C56E7A"/>
    <w:rsid w:val="00D14819"/>
    <w:rsid w:val="00E3396A"/>
    <w:rsid w:val="00F37E64"/>
    <w:rsid w:val="00FD7AA4"/>
    <w:rsid w:val="00FE69F7"/>
    <w:rsid w:val="00FF43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4EE4A"/>
  <w15:chartTrackingRefBased/>
  <w15:docId w15:val="{630C51C2-7973-44AA-92B7-24C38F14B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4417"/>
    <w:pPr>
      <w:spacing w:line="259" w:lineRule="auto"/>
    </w:pPr>
    <w:rPr>
      <w:kern w:val="0"/>
      <w:sz w:val="22"/>
      <w:szCs w:val="22"/>
      <w14:ligatures w14:val="none"/>
    </w:rPr>
  </w:style>
  <w:style w:type="paragraph" w:styleId="1">
    <w:name w:val="heading 1"/>
    <w:basedOn w:val="a"/>
    <w:next w:val="a"/>
    <w:link w:val="10"/>
    <w:uiPriority w:val="9"/>
    <w:qFormat/>
    <w:rsid w:val="00A144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A144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A1441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A1441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A1441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A1441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1441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1441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1441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4417"/>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A14417"/>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A14417"/>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A14417"/>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A14417"/>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A1441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14417"/>
    <w:rPr>
      <w:rFonts w:eastAsiaTheme="majorEastAsia" w:cstheme="majorBidi"/>
      <w:color w:val="595959" w:themeColor="text1" w:themeTint="A6"/>
    </w:rPr>
  </w:style>
  <w:style w:type="character" w:customStyle="1" w:styleId="80">
    <w:name w:val="Заголовок 8 Знак"/>
    <w:basedOn w:val="a0"/>
    <w:link w:val="8"/>
    <w:uiPriority w:val="9"/>
    <w:semiHidden/>
    <w:rsid w:val="00A1441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14417"/>
    <w:rPr>
      <w:rFonts w:eastAsiaTheme="majorEastAsia" w:cstheme="majorBidi"/>
      <w:color w:val="272727" w:themeColor="text1" w:themeTint="D8"/>
    </w:rPr>
  </w:style>
  <w:style w:type="paragraph" w:styleId="a3">
    <w:name w:val="Title"/>
    <w:basedOn w:val="a"/>
    <w:next w:val="a"/>
    <w:link w:val="a4"/>
    <w:uiPriority w:val="10"/>
    <w:qFormat/>
    <w:rsid w:val="00A144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A1441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14417"/>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A14417"/>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14417"/>
    <w:pPr>
      <w:spacing w:before="160"/>
      <w:jc w:val="center"/>
    </w:pPr>
    <w:rPr>
      <w:i/>
      <w:iCs/>
      <w:color w:val="404040" w:themeColor="text1" w:themeTint="BF"/>
    </w:rPr>
  </w:style>
  <w:style w:type="character" w:customStyle="1" w:styleId="22">
    <w:name w:val="Цитата 2 Знак"/>
    <w:basedOn w:val="a0"/>
    <w:link w:val="21"/>
    <w:uiPriority w:val="29"/>
    <w:rsid w:val="00A14417"/>
    <w:rPr>
      <w:i/>
      <w:iCs/>
      <w:color w:val="404040" w:themeColor="text1" w:themeTint="BF"/>
    </w:rPr>
  </w:style>
  <w:style w:type="paragraph" w:styleId="a7">
    <w:name w:val="List Paragraph"/>
    <w:basedOn w:val="a"/>
    <w:uiPriority w:val="34"/>
    <w:qFormat/>
    <w:rsid w:val="00A14417"/>
    <w:pPr>
      <w:ind w:left="720"/>
      <w:contextualSpacing/>
    </w:pPr>
  </w:style>
  <w:style w:type="character" w:styleId="a8">
    <w:name w:val="Intense Emphasis"/>
    <w:basedOn w:val="a0"/>
    <w:uiPriority w:val="21"/>
    <w:qFormat/>
    <w:rsid w:val="00A14417"/>
    <w:rPr>
      <w:i/>
      <w:iCs/>
      <w:color w:val="0F4761" w:themeColor="accent1" w:themeShade="BF"/>
    </w:rPr>
  </w:style>
  <w:style w:type="paragraph" w:styleId="a9">
    <w:name w:val="Intense Quote"/>
    <w:basedOn w:val="a"/>
    <w:next w:val="a"/>
    <w:link w:val="aa"/>
    <w:uiPriority w:val="30"/>
    <w:qFormat/>
    <w:rsid w:val="00A144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A14417"/>
    <w:rPr>
      <w:i/>
      <w:iCs/>
      <w:color w:val="0F4761" w:themeColor="accent1" w:themeShade="BF"/>
    </w:rPr>
  </w:style>
  <w:style w:type="character" w:styleId="ab">
    <w:name w:val="Intense Reference"/>
    <w:basedOn w:val="a0"/>
    <w:uiPriority w:val="32"/>
    <w:qFormat/>
    <w:rsid w:val="00A14417"/>
    <w:rPr>
      <w:b/>
      <w:bCs/>
      <w:smallCaps/>
      <w:color w:val="0F4761" w:themeColor="accent1" w:themeShade="BF"/>
      <w:spacing w:val="5"/>
    </w:rPr>
  </w:style>
  <w:style w:type="paragraph" w:styleId="ac">
    <w:name w:val="Body Text"/>
    <w:basedOn w:val="a"/>
    <w:link w:val="ad"/>
    <w:uiPriority w:val="99"/>
    <w:semiHidden/>
    <w:unhideWhenUsed/>
    <w:rsid w:val="00557DB2"/>
    <w:pPr>
      <w:spacing w:after="120"/>
    </w:pPr>
  </w:style>
  <w:style w:type="character" w:customStyle="1" w:styleId="ad">
    <w:name w:val="Основной текст Знак"/>
    <w:basedOn w:val="a0"/>
    <w:link w:val="ac"/>
    <w:uiPriority w:val="99"/>
    <w:semiHidden/>
    <w:rsid w:val="00557DB2"/>
    <w:rPr>
      <w:kern w:val="0"/>
      <w:sz w:val="22"/>
      <w:szCs w:val="22"/>
      <w14:ligatures w14:val="none"/>
    </w:rPr>
  </w:style>
  <w:style w:type="character" w:styleId="ae">
    <w:name w:val="Hyperlink"/>
    <w:basedOn w:val="a0"/>
    <w:uiPriority w:val="99"/>
    <w:unhideWhenUsed/>
    <w:rsid w:val="00557DB2"/>
    <w:rPr>
      <w:color w:val="467886" w:themeColor="hyperlink"/>
      <w:u w:val="single"/>
    </w:rPr>
  </w:style>
  <w:style w:type="character" w:styleId="af">
    <w:name w:val="Unresolved Mention"/>
    <w:basedOn w:val="a0"/>
    <w:uiPriority w:val="99"/>
    <w:semiHidden/>
    <w:unhideWhenUsed/>
    <w:rsid w:val="00557D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92746">
      <w:bodyDiv w:val="1"/>
      <w:marLeft w:val="0"/>
      <w:marRight w:val="0"/>
      <w:marTop w:val="0"/>
      <w:marBottom w:val="0"/>
      <w:divBdr>
        <w:top w:val="none" w:sz="0" w:space="0" w:color="auto"/>
        <w:left w:val="none" w:sz="0" w:space="0" w:color="auto"/>
        <w:bottom w:val="none" w:sz="0" w:space="0" w:color="auto"/>
        <w:right w:val="none" w:sz="0" w:space="0" w:color="auto"/>
      </w:divBdr>
    </w:div>
    <w:div w:id="34918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36</TotalTime>
  <Pages>4</Pages>
  <Words>1340</Words>
  <Characters>7642</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Амир</dc:creator>
  <cp:keywords/>
  <dc:description/>
  <cp:lastModifiedBy>Амирходжа Дадоходжаев</cp:lastModifiedBy>
  <cp:revision>7</cp:revision>
  <cp:lastPrinted>2026-03-12T15:34:00Z</cp:lastPrinted>
  <dcterms:created xsi:type="dcterms:W3CDTF">2026-03-12T15:19:00Z</dcterms:created>
  <dcterms:modified xsi:type="dcterms:W3CDTF">2026-03-12T15:55:00Z</dcterms:modified>
</cp:coreProperties>
</file>