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3"/>
        <w:spacing w:after="0" w:line="360" w:lineRule="auto"/>
        <w:ind w:firstLine="0" w:left="284"/>
        <w:jc w:val="both"/>
        <w:rPr>
          <w:rFonts w:ascii="Times New Roman" w:hAnsi="Times New Roman"/>
          <w:i w:val="1"/>
          <w:sz w:val="28"/>
          <w:highlight w:val="white"/>
        </w:rPr>
      </w:pPr>
      <w:r>
        <w:rPr>
          <w:rFonts w:ascii="Times New Roman" w:hAnsi="Times New Roman"/>
          <w:i w:val="1"/>
          <w:sz w:val="28"/>
          <w:highlight w:val="white"/>
        </w:rPr>
        <w:t>Научн</w:t>
      </w:r>
      <w:r>
        <w:rPr>
          <w:rFonts w:ascii="Times New Roman" w:hAnsi="Times New Roman"/>
          <w:i w:val="1"/>
          <w:sz w:val="28"/>
          <w:highlight w:val="white"/>
        </w:rPr>
        <w:t>ая статья</w:t>
      </w:r>
      <w:r>
        <w:rPr>
          <w:rFonts w:ascii="Times New Roman" w:hAnsi="Times New Roman"/>
          <w:i w:val="1"/>
          <w:sz w:val="28"/>
          <w:highlight w:val="white"/>
        </w:rPr>
        <w:t xml:space="preserve"> </w:t>
      </w:r>
      <w:r>
        <w:rPr>
          <w:rFonts w:ascii="Times New Roman" w:hAnsi="Times New Roman"/>
          <w:i w:val="1"/>
          <w:sz w:val="28"/>
          <w:highlight w:val="white"/>
        </w:rPr>
        <w:t xml:space="preserve">по </w:t>
      </w:r>
      <w:r>
        <w:rPr>
          <w:rFonts w:ascii="Times New Roman" w:hAnsi="Times New Roman"/>
          <w:i w:val="1"/>
          <w:sz w:val="28"/>
          <w:highlight w:val="white"/>
        </w:rPr>
        <w:t>исследовани</w:t>
      </w:r>
      <w:r>
        <w:rPr>
          <w:rFonts w:ascii="Times New Roman" w:hAnsi="Times New Roman"/>
          <w:i w:val="1"/>
          <w:sz w:val="28"/>
          <w:highlight w:val="white"/>
        </w:rPr>
        <w:t>ю</w:t>
      </w:r>
      <w:r>
        <w:rPr>
          <w:rFonts w:ascii="Times New Roman" w:hAnsi="Times New Roman"/>
          <w:i w:val="1"/>
          <w:sz w:val="28"/>
          <w:highlight w:val="white"/>
        </w:rPr>
        <w:t xml:space="preserve"> профессиональной деятельности</w:t>
      </w:r>
    </w:p>
    <w:p w14:paraId="05000000">
      <w:pPr>
        <w:pStyle w:val="Style_3"/>
        <w:spacing w:after="0" w:line="360" w:lineRule="auto"/>
        <w:ind w:firstLine="0" w:left="284"/>
        <w:jc w:val="both"/>
        <w:rPr>
          <w:rFonts w:ascii="Times New Roman" w:hAnsi="Times New Roman"/>
          <w:b w:val="1"/>
          <w:i w:val="1"/>
          <w:sz w:val="28"/>
          <w:highlight w:val="white"/>
        </w:rPr>
      </w:pPr>
    </w:p>
    <w:p w14:paraId="06000000">
      <w:pPr>
        <w:pStyle w:val="Style_3"/>
        <w:spacing w:after="0" w:line="360" w:lineRule="auto"/>
        <w:ind w:firstLine="0" w:left="284"/>
        <w:jc w:val="both"/>
        <w:rPr>
          <w:rFonts w:ascii="Times New Roman" w:hAnsi="Times New Roman"/>
          <w:b w:val="1"/>
          <w:i w:val="1"/>
          <w:sz w:val="28"/>
          <w:highlight w:val="white"/>
        </w:rPr>
      </w:pPr>
      <w:r>
        <w:rPr>
          <w:rFonts w:ascii="Times New Roman" w:hAnsi="Times New Roman"/>
          <w:b w:val="1"/>
          <w:i w:val="1"/>
          <w:sz w:val="28"/>
          <w:highlight w:val="white"/>
        </w:rPr>
        <w:t>Байбикова Гузелия Рафаэлевна</w:t>
      </w:r>
      <w:r>
        <w:rPr>
          <w:rFonts w:ascii="Times New Roman" w:hAnsi="Times New Roman"/>
          <w:b w:val="1"/>
          <w:i w:val="1"/>
          <w:sz w:val="28"/>
          <w:highlight w:val="white"/>
        </w:rPr>
        <w:t>,</w:t>
      </w:r>
    </w:p>
    <w:p w14:paraId="07000000">
      <w:pPr>
        <w:pStyle w:val="Style_3"/>
        <w:spacing w:after="0" w:line="360" w:lineRule="auto"/>
        <w:ind w:firstLine="0" w:left="284"/>
        <w:jc w:val="both"/>
        <w:rPr>
          <w:rFonts w:ascii="Times New Roman" w:hAnsi="Times New Roman"/>
          <w:i w:val="1"/>
          <w:sz w:val="28"/>
          <w:highlight w:val="white"/>
        </w:rPr>
      </w:pPr>
      <w:r>
        <w:rPr>
          <w:rFonts w:ascii="Times New Roman" w:hAnsi="Times New Roman"/>
          <w:i w:val="1"/>
          <w:sz w:val="28"/>
          <w:highlight w:val="white"/>
        </w:rPr>
        <w:t>м</w:t>
      </w:r>
      <w:r>
        <w:rPr>
          <w:rFonts w:ascii="Times New Roman" w:hAnsi="Times New Roman"/>
          <w:i w:val="1"/>
          <w:sz w:val="28"/>
          <w:highlight w:val="white"/>
        </w:rPr>
        <w:t xml:space="preserve">агистрантка </w:t>
      </w:r>
      <w:r>
        <w:rPr>
          <w:rFonts w:ascii="Times New Roman" w:hAnsi="Times New Roman"/>
          <w:i w:val="1"/>
          <w:sz w:val="28"/>
          <w:highlight w:val="white"/>
        </w:rPr>
        <w:t>кафедры гражданского и предпринимательского права</w:t>
      </w:r>
      <w:r>
        <w:rPr>
          <w:rFonts w:ascii="Times New Roman" w:hAnsi="Times New Roman"/>
          <w:i w:val="1"/>
          <w:sz w:val="28"/>
          <w:highlight w:val="white"/>
        </w:rPr>
        <w:t xml:space="preserve"> </w:t>
      </w:r>
      <w:r>
        <w:rPr>
          <w:rFonts w:ascii="Times New Roman" w:hAnsi="Times New Roman"/>
          <w:i w:val="1"/>
          <w:sz w:val="28"/>
          <w:highlight w:val="white"/>
        </w:rPr>
        <w:t>юридического факультета Ульяновского государственного университета</w:t>
      </w:r>
    </w:p>
    <w:p w14:paraId="08000000">
      <w:pPr>
        <w:pStyle w:val="Style_3"/>
        <w:spacing w:after="0" w:line="360" w:lineRule="auto"/>
        <w:ind w:firstLine="0" w:left="284"/>
        <w:jc w:val="both"/>
        <w:rPr>
          <w:rFonts w:ascii="Times New Roman" w:hAnsi="Times New Roman"/>
          <w:i w:val="1"/>
          <w:sz w:val="28"/>
          <w:highlight w:val="white"/>
        </w:rPr>
      </w:pPr>
    </w:p>
    <w:p w14:paraId="09000000">
      <w:pPr>
        <w:pStyle w:val="Style_3"/>
        <w:spacing w:after="0" w:line="360" w:lineRule="auto"/>
        <w:ind w:firstLine="0" w:left="284"/>
        <w:jc w:val="both"/>
        <w:rPr>
          <w:rFonts w:ascii="Times New Roman" w:hAnsi="Times New Roman"/>
          <w:b w:val="1"/>
          <w:i w:val="1"/>
          <w:sz w:val="28"/>
          <w:highlight w:val="white"/>
        </w:rPr>
      </w:pPr>
      <w:r>
        <w:rPr>
          <w:rFonts w:ascii="Times New Roman" w:hAnsi="Times New Roman"/>
          <w:b w:val="1"/>
          <w:i w:val="1"/>
          <w:sz w:val="28"/>
          <w:highlight w:val="white"/>
        </w:rPr>
        <w:t>Карпеев Олег Владимирович,</w:t>
      </w:r>
    </w:p>
    <w:p w14:paraId="0A000000">
      <w:pPr>
        <w:pStyle w:val="Style_3"/>
        <w:spacing w:after="0" w:line="360" w:lineRule="auto"/>
        <w:ind w:firstLine="0" w:left="284"/>
        <w:jc w:val="both"/>
        <w:rPr>
          <w:rFonts w:ascii="Times New Roman" w:hAnsi="Times New Roman"/>
          <w:i w:val="1"/>
          <w:sz w:val="28"/>
          <w:highlight w:val="white"/>
        </w:rPr>
      </w:pPr>
      <w:r>
        <w:rPr>
          <w:rFonts w:ascii="Times New Roman" w:hAnsi="Times New Roman"/>
          <w:i w:val="1"/>
          <w:sz w:val="28"/>
          <w:highlight w:val="white"/>
        </w:rPr>
        <w:t>доцент кафедры гражданского и предпринимательского права</w:t>
      </w:r>
      <w:r>
        <w:rPr>
          <w:rFonts w:ascii="Times New Roman" w:hAnsi="Times New Roman"/>
          <w:i w:val="1"/>
          <w:sz w:val="28"/>
          <w:highlight w:val="white"/>
        </w:rPr>
        <w:t xml:space="preserve"> </w:t>
      </w:r>
      <w:r>
        <w:rPr>
          <w:rFonts w:ascii="Times New Roman" w:hAnsi="Times New Roman"/>
          <w:i w:val="1"/>
          <w:sz w:val="28"/>
          <w:highlight w:val="white"/>
        </w:rPr>
        <w:t>юридического факультета Ульяновского государственного университета,</w:t>
      </w:r>
    </w:p>
    <w:p w14:paraId="0B000000">
      <w:pPr>
        <w:pStyle w:val="Style_3"/>
        <w:spacing w:after="0" w:line="360" w:lineRule="auto"/>
        <w:ind w:firstLine="0" w:left="284"/>
        <w:jc w:val="both"/>
        <w:rPr>
          <w:rFonts w:ascii="Times New Roman" w:hAnsi="Times New Roman"/>
          <w:i w:val="1"/>
          <w:sz w:val="28"/>
          <w:highlight w:val="white"/>
        </w:rPr>
      </w:pPr>
      <w:r>
        <w:rPr>
          <w:rFonts w:ascii="Times New Roman" w:hAnsi="Times New Roman"/>
          <w:i w:val="1"/>
          <w:sz w:val="28"/>
          <w:highlight w:val="white"/>
        </w:rPr>
        <w:t>кандидат юридических наук, доцент</w:t>
      </w:r>
    </w:p>
    <w:p w14:paraId="0C000000">
      <w:pPr>
        <w:pStyle w:val="Style_3"/>
        <w:spacing w:after="0" w:line="360" w:lineRule="auto"/>
        <w:ind w:firstLine="0" w:left="284"/>
        <w:jc w:val="both"/>
        <w:rPr>
          <w:rFonts w:ascii="Times New Roman" w:hAnsi="Times New Roman"/>
          <w:i w:val="1"/>
          <w:sz w:val="28"/>
          <w:highlight w:val="white"/>
        </w:rPr>
      </w:pPr>
    </w:p>
    <w:p w14:paraId="0D000000">
      <w:pPr>
        <w:pStyle w:val="Style_3"/>
        <w:spacing w:after="0" w:line="360" w:lineRule="auto"/>
        <w:ind w:firstLine="0" w:left="284"/>
        <w:jc w:val="both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«</w:t>
      </w:r>
      <w:r>
        <w:rPr>
          <w:rFonts w:ascii="Times New Roman" w:hAnsi="Times New Roman"/>
          <w:b w:val="1"/>
          <w:sz w:val="28"/>
        </w:rPr>
        <w:t>Правовая сущность и значение долгосрочного договора организации перевозок грузов автомобильным транспортом</w:t>
      </w:r>
      <w:r>
        <w:rPr>
          <w:rFonts w:ascii="Times New Roman" w:hAnsi="Times New Roman"/>
          <w:b w:val="1"/>
          <w:sz w:val="28"/>
          <w:highlight w:val="white"/>
        </w:rPr>
        <w:t>»</w:t>
      </w:r>
    </w:p>
    <w:p w14:paraId="0E000000">
      <w:pPr>
        <w:pStyle w:val="Style_3"/>
        <w:spacing w:after="0" w:line="360" w:lineRule="auto"/>
        <w:ind w:firstLine="0" w:left="284"/>
        <w:jc w:val="both"/>
        <w:rPr>
          <w:rFonts w:ascii="Times New Roman" w:hAnsi="Times New Roman"/>
          <w:sz w:val="28"/>
          <w:highlight w:val="white"/>
        </w:rPr>
      </w:pPr>
    </w:p>
    <w:p w14:paraId="0F000000">
      <w:pPr>
        <w:pStyle w:val="Style_3"/>
        <w:spacing w:after="0" w:line="360" w:lineRule="auto"/>
        <w:ind w:firstLine="0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i w:val="1"/>
          <w:sz w:val="28"/>
          <w:highlight w:val="white"/>
        </w:rPr>
        <w:t>Аннотация.</w:t>
      </w:r>
      <w:r>
        <w:rPr>
          <w:rFonts w:ascii="Times New Roman" w:hAnsi="Times New Roman"/>
          <w:sz w:val="28"/>
          <w:highlight w:val="white"/>
        </w:rPr>
        <w:t xml:space="preserve"> В данной статье раскрывается понятие </w:t>
      </w:r>
      <w:r>
        <w:rPr>
          <w:rFonts w:ascii="Times New Roman" w:hAnsi="Times New Roman"/>
          <w:sz w:val="28"/>
          <w:highlight w:val="white"/>
        </w:rPr>
        <w:t xml:space="preserve">организационного </w:t>
      </w:r>
      <w:r>
        <w:rPr>
          <w:rFonts w:ascii="Times New Roman" w:hAnsi="Times New Roman"/>
          <w:sz w:val="28"/>
          <w:highlight w:val="white"/>
        </w:rPr>
        <w:t>договора по перевозке груз</w:t>
      </w:r>
      <w:r>
        <w:rPr>
          <w:rFonts w:ascii="Times New Roman" w:hAnsi="Times New Roman"/>
          <w:sz w:val="28"/>
          <w:highlight w:val="white"/>
        </w:rPr>
        <w:t>ов автомобильным транспортом</w:t>
      </w:r>
      <w:r>
        <w:rPr>
          <w:rFonts w:ascii="Times New Roman" w:hAnsi="Times New Roman"/>
          <w:sz w:val="28"/>
          <w:highlight w:val="white"/>
        </w:rPr>
        <w:t xml:space="preserve">, а также, в соответствии с каким нормативно-правовыми актами оно осуществляет свое действие на территории нашей страны. </w:t>
      </w:r>
    </w:p>
    <w:p w14:paraId="10000000">
      <w:pPr>
        <w:pStyle w:val="Style_3"/>
        <w:spacing w:after="0" w:line="360" w:lineRule="auto"/>
        <w:ind w:firstLine="0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i w:val="1"/>
          <w:sz w:val="28"/>
          <w:highlight w:val="white"/>
        </w:rPr>
        <w:t>Ключевые слова: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договор, организация перевозок, организационный договор, договор перевозки грузов, автомобильный транспорт.</w:t>
      </w:r>
    </w:p>
    <w:p w14:paraId="11000000">
      <w:pPr>
        <w:pStyle w:val="Style_3"/>
        <w:spacing w:after="0" w:line="360" w:lineRule="auto"/>
        <w:ind w:firstLine="0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i w:val="1"/>
          <w:sz w:val="28"/>
          <w:highlight w:val="white"/>
        </w:rPr>
        <w:t>Annotation.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This article reveals the concept </w:t>
      </w:r>
      <w:r>
        <w:rPr>
          <w:rFonts w:ascii="Times New Roman" w:hAnsi="Times New Roman"/>
          <w:sz w:val="28"/>
          <w:highlight w:val="white"/>
        </w:rPr>
        <w:t xml:space="preserve">organization of transportation by freight road transport </w:t>
      </w:r>
      <w:r>
        <w:rPr>
          <w:rFonts w:ascii="Times New Roman" w:hAnsi="Times New Roman"/>
          <w:sz w:val="28"/>
          <w:highlight w:val="white"/>
        </w:rPr>
        <w:t xml:space="preserve">of a contract for the carriage of cargo, as well as in accordance with which regulatory legal acts it operates on the territory of our country. </w:t>
      </w:r>
    </w:p>
    <w:p w14:paraId="12000000">
      <w:pPr>
        <w:pStyle w:val="Style_3"/>
        <w:spacing w:after="0" w:line="360" w:lineRule="auto"/>
        <w:ind w:firstLine="0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i w:val="1"/>
          <w:sz w:val="28"/>
          <w:highlight w:val="white"/>
        </w:rPr>
        <w:t>Keywords: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contract, organization of transportation, organizational contract, contract for the carriage of goods, automobile transport</w:t>
      </w:r>
      <w:r>
        <w:rPr>
          <w:rFonts w:ascii="Times New Roman" w:hAnsi="Times New Roman"/>
          <w:sz w:val="28"/>
          <w:highlight w:val="white"/>
        </w:rPr>
        <w:t xml:space="preserve">. </w:t>
      </w:r>
    </w:p>
    <w:p w14:paraId="13000000">
      <w:pPr>
        <w:pStyle w:val="Style_3"/>
        <w:spacing w:after="0" w:line="360" w:lineRule="auto"/>
        <w:ind w:firstLine="0" w:left="284"/>
        <w:jc w:val="both"/>
        <w:rPr>
          <w:rFonts w:ascii="Times New Roman" w:hAnsi="Times New Roman"/>
          <w:sz w:val="28"/>
          <w:highlight w:val="white"/>
        </w:rPr>
      </w:pPr>
    </w:p>
    <w:p w14:paraId="14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при развитии современного общества, ориентированного на рыночную экономику, все чаще применяются на практике «организационные договоры». Данный вид договоров помогают </w:t>
      </w:r>
      <w:r>
        <w:rPr>
          <w:rFonts w:ascii="Times New Roman" w:hAnsi="Times New Roman"/>
          <w:sz w:val="28"/>
        </w:rPr>
        <w:t xml:space="preserve">субъектам гражданского оборота производить координацию взаимоотношений между собой. Началом изучения организационных договоров следует считать исследование процесса зарождения и преобразования подобных договоров в России. </w:t>
      </w:r>
    </w:p>
    <w:p w14:paraId="15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Организационные договоры (договор о прямом смешанном сообщении, договор об организации перевозок, договор об организации работы по обеспечению перевозок,) (ст. ст. 798, 799, 788 Г</w:t>
      </w:r>
      <w:r>
        <w:rPr>
          <w:rFonts w:ascii="Times New Roman" w:hAnsi="Times New Roman"/>
          <w:sz w:val="28"/>
        </w:rPr>
        <w:t>ражданского кодекса Р</w:t>
      </w:r>
      <w:r>
        <w:rPr>
          <w:rFonts w:ascii="Times New Roman" w:hAnsi="Times New Roman"/>
          <w:sz w:val="28"/>
        </w:rPr>
        <w:t xml:space="preserve">оссийской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едерации</w:t>
      </w:r>
      <w:r>
        <w:rPr>
          <w:rFonts w:ascii="Times New Roman" w:hAnsi="Times New Roman"/>
          <w:sz w:val="28"/>
        </w:rPr>
        <w:t xml:space="preserve">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ГК</w:t>
      </w:r>
      <w:r>
        <w:rPr>
          <w:rFonts w:ascii="Times New Roman" w:hAnsi="Times New Roman"/>
          <w:sz w:val="28"/>
        </w:rPr>
        <w:t xml:space="preserve"> РФ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)</w:t>
      </w:r>
      <w:r>
        <w:rPr>
          <w:rStyle w:val="Style_4_ch"/>
          <w:rFonts w:ascii="Times New Roman" w:hAnsi="Times New Roman"/>
          <w:sz w:val="28"/>
        </w:rPr>
        <w:footnoteReference w:id="1"/>
      </w:r>
      <w:r>
        <w:rPr>
          <w:rFonts w:ascii="Times New Roman" w:hAnsi="Times New Roman"/>
          <w:sz w:val="28"/>
        </w:rPr>
        <w:t>. В принципе, возможно и заключение других, не названных в ГК подобных договоров, например договор о перевозки транспортным средством и прохождение фитосанитарного контроля</w:t>
      </w:r>
      <w:r>
        <w:rPr>
          <w:rStyle w:val="Style_4_ch"/>
          <w:rFonts w:ascii="Times New Roman" w:hAnsi="Times New Roman"/>
          <w:sz w:val="28"/>
        </w:rPr>
        <w:footnoteReference w:id="2"/>
      </w:r>
      <w:r>
        <w:rPr>
          <w:rFonts w:ascii="Times New Roman" w:hAnsi="Times New Roman"/>
          <w:sz w:val="28"/>
        </w:rPr>
        <w:t>.</w:t>
      </w:r>
    </w:p>
    <w:p w14:paraId="16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Законодательство в сфере транспорта создано таким образом, что оно регламентирует правоотношения в сфере перевозок различными видами транспорта. Указанный факт позволяет разделить договоры перевозки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видам транспорта, а именно: воздушным, водным, наземным, внеуличным транспортом (ст. 1 УЖТ, ст. 1 УАТ, ст. 32 Воздушного кодекса, ст. 2 КТМ, ст. 3 КВВТ).</w:t>
      </w:r>
    </w:p>
    <w:p w14:paraId="17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Договор перевозки груза с помощью автомобильного транспорта (ст. 8 Устава) может быть заключён путём принятия для выполнения заказа перевозчиком, а при наличии действующего договора об организации перевозок грузов – достаточно заявки заказчика - грузоотправителя. В Уставе не указываются точные сроки подачи заказа и заявки. Правилами перевозок грузов, утверждённые Правительством РФ регламентируются необходимые реквизиты заказа, заявки, и правила их оформления устанавливаются.</w:t>
      </w:r>
    </w:p>
    <w:p w14:paraId="18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статье 798 ГК РФ указано, что «перевозчики и грузовладельцы при необходимости осуществления систематических перевозок грузов могут заключать долгосрочные договоры об организации перевозок, в которых </w:t>
      </w:r>
      <w:r>
        <w:rPr>
          <w:rFonts w:ascii="Times New Roman" w:hAnsi="Times New Roman"/>
          <w:sz w:val="28"/>
          <w:highlight w:val="white"/>
        </w:rPr>
        <w:t>определяются объемы, сроки и другие условия предоставления транспортных средств и предъявления грузов для перевозки, порядок расчетов, а также иные условия организации перевозок. В этих договорах может быть установлена и ответственность за нарушение предусмотренных в них обязательств».</w:t>
      </w:r>
    </w:p>
    <w:p w14:paraId="19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Главная цель указанных договоров на транспорте - регламентировать взаимоотношения сторон, возникающие во время перевозочного процесса, которые не имеют необходимого нормативно-правового регулирования, а также помогать осуществлению перевозочного процесса в определенный период. Долгосрочный договор об организации перевозок помогает наладить необходимую координацию деятельности всех субъектов процесса: грузоотправителя, перевозчика, грузополучателя.</w:t>
      </w:r>
    </w:p>
    <w:p w14:paraId="1A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Подобные договоренности на основе взаимовыгоды являются фундаментом коммерческих отношений сторон и являются некой страховкой соблюдения взятых на себя обязательств по перевозке грузов. В долгосрочном договоре единожды согласовываются необходимые пункты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по поводу особенностей условий перевозки грузов, что освобождает стороны в дальнейшем на весь срок сотрудничества по договору, от необходимости каждый раз обговаривать эти условия при заключении каждого договора перевозки. Таким образом, долгосрочный договор обеспечивает стабильность во взаимоотношениях между перевозчиком и клиентурой, нивелирует возможные разногласия между сторонами в процессе делового сотрудничества. При этом следует понимать, что заключение подобных договоров не является обязанностью для сторон. Подобный договор заключается лишь при наличии обоюдного согласия и желания к его заключению. Таким образом, если одна из сторон отказывается заключать договор, то их оппоненты не имеют права обратиться в суд с требованием его заключения принудительно. В случае если </w:t>
      </w:r>
      <w:r>
        <w:rPr>
          <w:rFonts w:ascii="Times New Roman" w:hAnsi="Times New Roman"/>
          <w:sz w:val="28"/>
          <w:highlight w:val="white"/>
        </w:rPr>
        <w:t>всё-таки</w:t>
      </w:r>
      <w:r>
        <w:rPr>
          <w:rFonts w:ascii="Times New Roman" w:hAnsi="Times New Roman"/>
          <w:sz w:val="28"/>
          <w:highlight w:val="white"/>
        </w:rPr>
        <w:t xml:space="preserve"> подобное исковое заявление было подано в суд, последний должен в обязательном порядке отказать в принятии заявления. В </w:t>
      </w:r>
      <w:r>
        <w:rPr>
          <w:rFonts w:ascii="Times New Roman" w:hAnsi="Times New Roman"/>
          <w:sz w:val="28"/>
          <w:highlight w:val="white"/>
        </w:rPr>
        <w:t xml:space="preserve">соответствии с положениями ст. 446 </w:t>
      </w:r>
      <w:r>
        <w:rPr>
          <w:rFonts w:ascii="Times New Roman" w:hAnsi="Times New Roman"/>
          <w:sz w:val="28"/>
          <w:highlight w:val="white"/>
        </w:rPr>
        <w:t>ГК РФ</w:t>
      </w:r>
      <w:r>
        <w:rPr>
          <w:rFonts w:ascii="Times New Roman" w:hAnsi="Times New Roman"/>
          <w:sz w:val="28"/>
          <w:highlight w:val="white"/>
        </w:rPr>
        <w:t xml:space="preserve"> спор сторон, возникший при заключении указанных договоров, может быть разрешен арбитражным судом, если имеется соглашение сторон о передаче спора в арбитражный суд. Данная точка зрения изложена в п. 1 Постановления Пленума Высшего Арбитражного Суда Российской Федерации от 6 октября 2005 г. № 30 «О некоторых вопросах практики применения Федерального закона «Устав железнодорожного транспорта Российской Федерации».</w:t>
      </w:r>
    </w:p>
    <w:p w14:paraId="1B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Данный договор заключается в письменной форме, при этом срок действия определяется сторонами. Необходимо помнить, что заключение данного договора не освобождает грузоотправителя от направления в адрес грузоперевозчика заявки на перевозку грузов в соответствии с положениями транспортных кодексов и уставов. Этот договор не подменяет договор на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перевозку конкретного груза, носит консенсуальный, взаимный характер.</w:t>
      </w:r>
    </w:p>
    <w:p w14:paraId="1C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Транспортное законодательство не регламентирует сроки подачи заявки для исполнения обязательства по перевозке грузов в прямом смешанном сообщении для перевозчика.</w:t>
      </w:r>
    </w:p>
    <w:p w14:paraId="1D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Организационный договор, формировался постепенно, развиваясь параллельно с развитием экономических отношений в обществе.</w:t>
      </w:r>
    </w:p>
    <w:p w14:paraId="1E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Организационные договоры оставили след в российской истории, тем самым решив, разнообразный комплекс задач и имели свое весомое значение в правовой системе государства. Рассмотрим роль указанных договоров на современном этапе развития нашего общества.</w:t>
      </w:r>
    </w:p>
    <w:p w14:paraId="1F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Во-первых, распространенным основанием возникновения, изменения и прекращения организационных правоотношений является организационный </w:t>
      </w:r>
      <w:r>
        <w:rPr>
          <w:rFonts w:ascii="Times New Roman" w:hAnsi="Times New Roman"/>
          <w:sz w:val="28"/>
          <w:highlight w:val="white"/>
        </w:rPr>
        <w:t>договор несмотря на то, что</w:t>
      </w:r>
      <w:r>
        <w:rPr>
          <w:rFonts w:ascii="Times New Roman" w:hAnsi="Times New Roman"/>
          <w:sz w:val="28"/>
          <w:highlight w:val="white"/>
        </w:rPr>
        <w:t xml:space="preserve"> существует возможность возникновения организационных правоотношений из закона. Таким образом, организационные договоры помогают поступательному росту организационных правоотношений, в общем.</w:t>
      </w:r>
    </w:p>
    <w:p w14:paraId="20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Во-вторых, указанные договоры вполне возможно рассматривать как один из способов удовлетворения организационных потребностей. Организованность, имеет важное значение для прогресса общества, так как общество само по себе создаётся для улучшения производительности и деятельности его членов, путём организованного взаимодействия между ними, по сравнению с тем, чего могли бы достигнуть поодиночке. «Если рассматривать такое взаимодействие индивидов как систему, то можно назвать такой эффект от организующего взаимодействия субъектов результатом эмерджентности сложившейся системы». Значимость организационных договоров заключается в том, что стороны подобного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договора заинтересованы в том, чтобы, сложив усилия, двигаться совместно к одной цели и таким образом получая лучший результат.</w:t>
      </w:r>
    </w:p>
    <w:p w14:paraId="21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В-третьих, организационный договор, как и остальные договора, является регулятором данного вида отношений. Содержание договора позволяют учитывать сложившуюся ситуацию и обговоренные требования участников сделки. Это даёт возможность организационному договору индивидуально регулировать взаимоотношения сторон.</w:t>
      </w:r>
    </w:p>
    <w:p w14:paraId="22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В-четвертых, организационный договор - позволяет участникам планировать свою деятельность на будущее. Закрепляет намерения сторон, что в свою очередь придаёт им уверенность в контрагенте относительно их совместной работы, а также, объединяет их взаимными правами и обязанностями. Как верно отмечает И.Н. Блажевич: «раньше гражданский договор лишь оформлял взаимосвязи между товаропроизводителями, но теперь он становится одним из правовых инструментов организации рыночного хозяйства, внося в его стихийный и конкурентный механизм элементы планомерной организованности». </w:t>
      </w:r>
    </w:p>
    <w:p w14:paraId="23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В-пятых, организационный договор </w:t>
      </w:r>
      <w:r>
        <w:rPr>
          <w:rFonts w:ascii="Times New Roman" w:hAnsi="Times New Roman"/>
          <w:sz w:val="28"/>
          <w:highlight w:val="white"/>
        </w:rPr>
        <w:t>— это</w:t>
      </w:r>
      <w:r>
        <w:rPr>
          <w:rFonts w:ascii="Times New Roman" w:hAnsi="Times New Roman"/>
          <w:sz w:val="28"/>
          <w:highlight w:val="white"/>
        </w:rPr>
        <w:t xml:space="preserve"> своего рода маркер, по которому определяют развитие данных общественных отношений в обществе. Организационные отношения объективно существуют и развиваются, их значимость, определяет потребность в упорядочении, и </w:t>
      </w:r>
      <w:r>
        <w:rPr>
          <w:rFonts w:ascii="Times New Roman" w:hAnsi="Times New Roman"/>
          <w:sz w:val="28"/>
          <w:highlight w:val="white"/>
        </w:rPr>
        <w:t>объективно приводит к развитию юридической договорной практике. Организационные договоры становятся тем стержнем, вокруг которого участники договорных отношений формируют необходимые условия. Эти условия, являются обязательным для участников договора и служат ориентиром для развития организационных отношений. Эти ориентиры реализуются на практике в деятельности участников гражданского оборота, но и задают тон в нормативно-правовом регулировании данных отношений. Таким образом, можно сделать вывод о том, что организационные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договоры, являются во многом фундаментом для развития гражданских договорных отношений. </w:t>
      </w:r>
    </w:p>
    <w:p w14:paraId="24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большинстве случаев, договоры об организации </w:t>
      </w:r>
      <w:r>
        <w:rPr>
          <w:rFonts w:ascii="Times New Roman" w:hAnsi="Times New Roman"/>
          <w:sz w:val="28"/>
          <w:highlight w:val="white"/>
        </w:rPr>
        <w:t>перевозок заключаются</w:t>
      </w:r>
      <w:r>
        <w:rPr>
          <w:rFonts w:ascii="Times New Roman" w:hAnsi="Times New Roman"/>
          <w:sz w:val="28"/>
          <w:highlight w:val="white"/>
        </w:rPr>
        <w:t xml:space="preserve"> между фирмами разных видов транспорта. Это обусловлено тем, что груз перевозится разными видами транспорта. Для регулирования подобных отношений между игроками рынка грузопассажирских перевозок, помимо договора перевозки в прямом смешанном сообщении, заключаются узловые соглашения</w:t>
      </w:r>
      <w:r>
        <w:rPr>
          <w:rStyle w:val="Style_4_ch"/>
          <w:rFonts w:ascii="Times New Roman" w:hAnsi="Times New Roman"/>
          <w:sz w:val="28"/>
          <w:highlight w:val="white"/>
        </w:rPr>
        <w:footnoteReference w:id="3"/>
      </w:r>
      <w:r>
        <w:rPr>
          <w:rFonts w:ascii="Times New Roman" w:hAnsi="Times New Roman"/>
          <w:sz w:val="28"/>
          <w:highlight w:val="white"/>
        </w:rPr>
        <w:t>.</w:t>
      </w:r>
    </w:p>
    <w:p w14:paraId="25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  <w:highlight w:val="white"/>
        </w:rPr>
      </w:pPr>
    </w:p>
    <w:p w14:paraId="26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  <w:highlight w:val="white"/>
        </w:rPr>
      </w:pPr>
    </w:p>
    <w:p w14:paraId="27000000">
      <w:pPr>
        <w:pStyle w:val="Style_3"/>
        <w:spacing w:after="0" w:line="360" w:lineRule="auto"/>
        <w:ind w:firstLine="424" w:left="284"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Список использованной литературы</w:t>
      </w:r>
    </w:p>
    <w:p w14:paraId="28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1. </w:t>
      </w:r>
      <w:r>
        <w:rPr>
          <w:rFonts w:ascii="Times New Roman" w:hAnsi="Times New Roman"/>
          <w:sz w:val="28"/>
          <w:highlight w:val="white"/>
        </w:rPr>
        <w:t>Гражданский кодекс Российской Федерации (часть вторая) от 26.01.1996 N 14-ФЗ (ред. от 24.07.2023) (с изм. и доп., вступ. в силу с 12.09.2023) // Собрание законодательства РФ. – 1996.  – № 5. – Ст. 410 ; 2023. – № 25. – Ст. 4398.</w:t>
      </w:r>
    </w:p>
    <w:p w14:paraId="29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 </w:t>
      </w:r>
      <w:r>
        <w:rPr>
          <w:rFonts w:ascii="Times New Roman" w:hAnsi="Times New Roman"/>
          <w:sz w:val="28"/>
          <w:highlight w:val="white"/>
        </w:rPr>
        <w:t xml:space="preserve">Федеральный закон от 08.11.2007 N 259-ФЗ (ред. от 19.10.2023) </w:t>
      </w:r>
      <w:r>
        <w:rPr>
          <w:rFonts w:ascii="Times New Roman" w:hAnsi="Times New Roman"/>
          <w:sz w:val="28"/>
          <w:highlight w:val="white"/>
        </w:rPr>
        <w:t>«</w:t>
      </w:r>
      <w:r>
        <w:rPr>
          <w:rFonts w:ascii="Times New Roman" w:hAnsi="Times New Roman"/>
          <w:sz w:val="28"/>
          <w:highlight w:val="white"/>
        </w:rPr>
        <w:t>Устав автомобильного транспорта и городского наземного электрического транспорта</w:t>
      </w:r>
      <w:r>
        <w:rPr>
          <w:rFonts w:ascii="Times New Roman" w:hAnsi="Times New Roman"/>
          <w:sz w:val="28"/>
          <w:highlight w:val="white"/>
        </w:rPr>
        <w:t>»</w:t>
      </w:r>
      <w:r>
        <w:rPr>
          <w:rFonts w:ascii="Times New Roman" w:hAnsi="Times New Roman"/>
          <w:sz w:val="28"/>
          <w:highlight w:val="white"/>
        </w:rPr>
        <w:t xml:space="preserve"> (с изм. и доп., вступ. в силу с 01.09.2024) //Собрание законодательства РФ.  –  2007. –  № 46. – Ст. 5555 ; 2023. – № 32 (Часть II). – Ст. 6216.</w:t>
      </w:r>
    </w:p>
    <w:p w14:paraId="2A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 </w:t>
      </w:r>
      <w:r>
        <w:rPr>
          <w:rFonts w:ascii="Times New Roman" w:hAnsi="Times New Roman"/>
          <w:sz w:val="28"/>
          <w:highlight w:val="white"/>
        </w:rPr>
        <w:t xml:space="preserve">Федеральный закон от 08.11.2007 N 257-ФЗ (ред. от 08.08.2024) </w:t>
      </w:r>
      <w:r>
        <w:rPr>
          <w:rFonts w:ascii="Times New Roman" w:hAnsi="Times New Roman"/>
          <w:sz w:val="28"/>
          <w:highlight w:val="white"/>
        </w:rPr>
        <w:t>«</w:t>
      </w:r>
      <w:r>
        <w:rPr>
          <w:rFonts w:ascii="Times New Roman" w:hAnsi="Times New Roman"/>
          <w:sz w:val="28"/>
          <w:highlight w:val="white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highlight w:val="white"/>
        </w:rPr>
        <w:t>»</w:t>
      </w:r>
      <w:r>
        <w:rPr>
          <w:rFonts w:ascii="Times New Roman" w:hAnsi="Times New Roman"/>
          <w:sz w:val="28"/>
          <w:highlight w:val="white"/>
        </w:rPr>
        <w:t xml:space="preserve"> (с изм. и доп., вступ. в силу с 01.09.2024) //Собрание законодательства РФ. - 2007. -  № 46. - Ст. 5553 ; 2023. - № 23 (часть I). - Ст. 4017.</w:t>
      </w:r>
    </w:p>
    <w:p w14:paraId="2B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4. </w:t>
      </w:r>
      <w:r>
        <w:rPr>
          <w:rFonts w:ascii="Times New Roman" w:hAnsi="Times New Roman"/>
          <w:sz w:val="28"/>
          <w:highlight w:val="white"/>
        </w:rPr>
        <w:t xml:space="preserve">Постановление Правительства РФ от 21.12.2020 N 2200 (ред. от 30.12.2022) </w:t>
      </w:r>
      <w:r>
        <w:rPr>
          <w:rFonts w:ascii="Times New Roman" w:hAnsi="Times New Roman"/>
          <w:sz w:val="28"/>
          <w:highlight w:val="white"/>
        </w:rPr>
        <w:t>«</w:t>
      </w:r>
      <w:r>
        <w:rPr>
          <w:rFonts w:ascii="Times New Roman" w:hAnsi="Times New Roman"/>
          <w:sz w:val="28"/>
          <w:highlight w:val="white"/>
        </w:rPr>
        <w:t>Об утверждении Правил перевозок грузов автомобильным транспортом и о внесении изменений в пункт 2.1.1 Правил дорожного движения Российской Федерации</w:t>
      </w:r>
      <w:r>
        <w:rPr>
          <w:rFonts w:ascii="Times New Roman" w:hAnsi="Times New Roman"/>
          <w:sz w:val="28"/>
          <w:highlight w:val="white"/>
        </w:rPr>
        <w:t>»</w:t>
      </w:r>
      <w:r>
        <w:rPr>
          <w:rFonts w:ascii="Times New Roman" w:hAnsi="Times New Roman"/>
          <w:sz w:val="28"/>
          <w:highlight w:val="white"/>
        </w:rPr>
        <w:t xml:space="preserve"> // Официальный интернет-портал правовой информации http://pravo.gov.ru, 23.12.2020 ; http://pravo.gov.ru, 31.12.2022.</w:t>
      </w:r>
    </w:p>
    <w:p w14:paraId="2C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5. </w:t>
      </w:r>
      <w:r>
        <w:rPr>
          <w:rFonts w:ascii="Times New Roman" w:hAnsi="Times New Roman"/>
          <w:sz w:val="28"/>
          <w:highlight w:val="white"/>
        </w:rPr>
        <w:t>Гречуха В.Н. Транспортное право: правовое регулирование деятельности воздушного транспорта: монография. Москва: Юстиция, 2016. С. 219.</w:t>
      </w:r>
    </w:p>
    <w:p w14:paraId="2D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6</w:t>
      </w:r>
      <w:r>
        <w:rPr>
          <w:rFonts w:ascii="Times New Roman" w:hAnsi="Times New Roman"/>
          <w:sz w:val="28"/>
          <w:highlight w:val="white"/>
        </w:rPr>
        <w:t xml:space="preserve">. </w:t>
      </w:r>
      <w:r>
        <w:rPr>
          <w:rFonts w:ascii="Times New Roman" w:hAnsi="Times New Roman"/>
          <w:sz w:val="28"/>
          <w:highlight w:val="white"/>
        </w:rPr>
        <w:t xml:space="preserve">Морозов, С. Ю. Система транспортных организационных договоров / С. Ю. Морозов. – Москва : Норма, 2011. </w:t>
      </w:r>
      <w:r>
        <w:rPr>
          <w:rFonts w:ascii="Times New Roman" w:hAnsi="Times New Roman"/>
          <w:sz w:val="28"/>
          <w:highlight w:val="white"/>
        </w:rPr>
        <w:t>–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С. </w:t>
      </w:r>
      <w:r>
        <w:rPr>
          <w:rFonts w:ascii="Times New Roman" w:hAnsi="Times New Roman"/>
          <w:sz w:val="28"/>
          <w:highlight w:val="white"/>
        </w:rPr>
        <w:t>352.</w:t>
      </w:r>
    </w:p>
    <w:p w14:paraId="2E000000">
      <w:pPr>
        <w:pStyle w:val="Style_3"/>
        <w:spacing w:after="0" w:line="360" w:lineRule="auto"/>
        <w:ind w:firstLine="424" w:left="28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7. </w:t>
      </w:r>
      <w:r>
        <w:rPr>
          <w:rFonts w:ascii="Times New Roman" w:hAnsi="Times New Roman"/>
          <w:sz w:val="28"/>
          <w:highlight w:val="white"/>
        </w:rPr>
        <w:t>Морозов, С. Ю. Транспортное право: учебник для вузов / С. Ю. Морозов. — 5-е изд., перераб. и доп. — Москва: Издательство Юрайт, 2020. — 305 с. — (Высшее образование). — ISBN978–5–534–08988–2. — Текст: электронный // ЭБС Юрайт [сайт]. — URL: https://urait.ru/bcode/449783 (дата обращения: 1</w:t>
      </w:r>
      <w:r>
        <w:rPr>
          <w:rFonts w:ascii="Times New Roman" w:hAnsi="Times New Roman"/>
          <w:sz w:val="28"/>
          <w:highlight w:val="white"/>
        </w:rPr>
        <w:t>0</w:t>
      </w:r>
      <w:r>
        <w:rPr>
          <w:rFonts w:ascii="Times New Roman" w:hAnsi="Times New Roman"/>
          <w:sz w:val="28"/>
          <w:highlight w:val="white"/>
        </w:rPr>
        <w:t>.0</w:t>
      </w:r>
      <w:r>
        <w:rPr>
          <w:rFonts w:ascii="Times New Roman" w:hAnsi="Times New Roman"/>
          <w:sz w:val="28"/>
          <w:highlight w:val="white"/>
        </w:rPr>
        <w:t>2</w:t>
      </w:r>
      <w:r>
        <w:rPr>
          <w:rFonts w:ascii="Times New Roman" w:hAnsi="Times New Roman"/>
          <w:sz w:val="28"/>
          <w:highlight w:val="white"/>
        </w:rPr>
        <w:t>.202</w:t>
      </w:r>
      <w:r>
        <w:rPr>
          <w:rFonts w:ascii="Times New Roman" w:hAnsi="Times New Roman"/>
          <w:sz w:val="28"/>
          <w:highlight w:val="white"/>
        </w:rPr>
        <w:t>5</w:t>
      </w:r>
      <w:r>
        <w:rPr>
          <w:rFonts w:ascii="Times New Roman" w:hAnsi="Times New Roman"/>
          <w:sz w:val="28"/>
          <w:highlight w:val="white"/>
        </w:rPr>
        <w:t>).</w:t>
      </w:r>
    </w:p>
    <w:sectPr>
      <w:headerReference r:id="rId1" w:type="default"/>
      <w:footerReference r:id="rId2" w:type="default"/>
      <w:footerReference r:id="rId3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8"/>
      </w:rPr>
    </w:pPr>
  </w:p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2F000000">
      <w:pPr>
        <w:pStyle w:val="Style_29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Гражданский кодекс Российской Федерации (часть первая) от 30.11.1994 №51-ФЗ (ред. от 08.08.2024, с изм. от 31.10.2024). // Российская газета. - 2024. - 31 октября; Официальный интернет-портал правовой 31.12.2024. </w:t>
      </w:r>
    </w:p>
  </w:footnote>
  <w:footnote w:id="2">
    <w:p w14:paraId="30000000">
      <w:pPr>
        <w:pStyle w:val="Style_29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Морозов С.Ю. Система транспортных организационных договоров. М., 2011. С. 87.</w:t>
      </w:r>
    </w:p>
  </w:footnote>
  <w:footnote w:id="3">
    <w:p w14:paraId="31000000">
      <w:pPr>
        <w:pStyle w:val="Style_29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bookmarkStart w:id="1" w:name="_Hlk190085460"/>
      <w:r>
        <w:rPr>
          <w:rFonts w:ascii="Times New Roman" w:hAnsi="Times New Roman"/>
        </w:rPr>
        <w:t>Гречуха В.Н. Транспортное право: правовое регулирование деятельности воздушного транспорта: монография. Москва: Юстиция, 2016. С. 219.</w:t>
      </w:r>
      <w:bookmarkEnd w:id="1"/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tabs>
        <w:tab w:leader="none" w:pos="4677" w:val="clear"/>
        <w:tab w:leader="none" w:pos="7840" w:val="left"/>
        <w:tab w:leader="none" w:pos="9355" w:val="clear"/>
      </w:tabs>
      <w:ind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basedOn w:val="Style_5"/>
    <w:next w:val="Style_5"/>
    <w:link w:val="Style_6_ch"/>
    <w:uiPriority w:val="39"/>
    <w:pPr>
      <w:spacing w:after="100"/>
      <w:ind w:firstLine="0" w:left="220"/>
    </w:pPr>
  </w:style>
  <w:style w:styleId="Style_6_ch" w:type="character">
    <w:name w:val="toc 2"/>
    <w:basedOn w:val="Style_5_ch"/>
    <w:link w:val="Style_6"/>
  </w:style>
  <w:style w:styleId="Style_7" w:type="paragraph">
    <w:name w:val="Balloon Text"/>
    <w:basedOn w:val="Style_5"/>
    <w:link w:val="Style_7_ch"/>
    <w:pPr>
      <w:spacing w:after="0" w:line="240" w:lineRule="auto"/>
      <w:ind/>
    </w:pPr>
    <w:rPr>
      <w:rFonts w:ascii="Tahoma" w:hAnsi="Tahoma"/>
      <w:sz w:val="16"/>
    </w:rPr>
  </w:style>
  <w:style w:styleId="Style_7_ch" w:type="character">
    <w:name w:val="Balloon Text"/>
    <w:basedOn w:val="Style_5_ch"/>
    <w:link w:val="Style_7"/>
    <w:rPr>
      <w:rFonts w:ascii="Tahoma" w:hAnsi="Tahoma"/>
      <w:sz w:val="16"/>
    </w:rPr>
  </w:style>
  <w:style w:styleId="Style_8" w:type="paragraph">
    <w:name w:val="Normal (Web)"/>
    <w:basedOn w:val="Style_5"/>
    <w:link w:val="Style_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5_ch"/>
    <w:link w:val="Style_8"/>
    <w:rPr>
      <w:rFonts w:ascii="Times New Roman" w:hAnsi="Times New Roman"/>
      <w:sz w:val="24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3" w:type="paragraph">
    <w:name w:val="List Paragraph"/>
    <w:basedOn w:val="Style_5"/>
    <w:link w:val="Style_3_ch"/>
    <w:pPr>
      <w:ind w:firstLine="0" w:left="720"/>
      <w:contextualSpacing w:val="1"/>
    </w:pPr>
  </w:style>
  <w:style w:styleId="Style_3_ch" w:type="character">
    <w:name w:val="List Paragraph"/>
    <w:basedOn w:val="Style_5_ch"/>
    <w:link w:val="Style_3"/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12" w:type="paragraph">
    <w:name w:val="annotation reference"/>
    <w:basedOn w:val="Style_13"/>
    <w:link w:val="Style_12_ch"/>
    <w:rPr>
      <w:sz w:val="16"/>
    </w:rPr>
  </w:style>
  <w:style w:styleId="Style_12_ch" w:type="character">
    <w:name w:val="annotation reference"/>
    <w:basedOn w:val="Style_13_ch"/>
    <w:link w:val="Style_12"/>
    <w:rPr>
      <w:sz w:val="16"/>
    </w:rPr>
  </w:style>
  <w:style w:styleId="Style_14" w:type="paragraph">
    <w:name w:val="Endnote"/>
    <w:basedOn w:val="Style_5"/>
    <w:link w:val="Style_14_ch"/>
    <w:pPr>
      <w:spacing w:after="0" w:line="240" w:lineRule="auto"/>
      <w:ind/>
    </w:pPr>
    <w:rPr>
      <w:sz w:val="20"/>
    </w:rPr>
  </w:style>
  <w:style w:styleId="Style_14_ch" w:type="character">
    <w:name w:val="Endnote"/>
    <w:basedOn w:val="Style_5_ch"/>
    <w:link w:val="Style_14"/>
    <w:rPr>
      <w:sz w:val="20"/>
    </w:rPr>
  </w:style>
  <w:style w:styleId="Style_15" w:type="paragraph">
    <w:name w:val="heading 3"/>
    <w:next w:val="Style_5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ref"/>
    <w:basedOn w:val="Style_13"/>
    <w:link w:val="Style_16_ch"/>
  </w:style>
  <w:style w:styleId="Style_16_ch" w:type="character">
    <w:name w:val="ref"/>
    <w:basedOn w:val="Style_13_ch"/>
    <w:link w:val="Style_16"/>
  </w:style>
  <w:style w:styleId="Style_17" w:type="paragraph">
    <w:name w:val="Unresolved Mention"/>
    <w:basedOn w:val="Style_13"/>
    <w:link w:val="Style_17_ch"/>
    <w:rPr>
      <w:color w:val="605E5C"/>
      <w:shd w:fill="E1DFDD" w:val="clear"/>
    </w:rPr>
  </w:style>
  <w:style w:styleId="Style_17_ch" w:type="character">
    <w:name w:val="Unresolved Mention"/>
    <w:basedOn w:val="Style_13_ch"/>
    <w:link w:val="Style_17"/>
    <w:rPr>
      <w:color w:val="605E5C"/>
      <w:shd w:fill="E1DFDD" w:val="clear"/>
    </w:rPr>
  </w:style>
  <w:style w:styleId="Style_18" w:type="paragraph">
    <w:name w:val="Default"/>
    <w:link w:val="Style_18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8_ch" w:type="character">
    <w:name w:val="Default"/>
    <w:link w:val="Style_18"/>
    <w:rPr>
      <w:rFonts w:ascii="Times New Roman" w:hAnsi="Times New Roman"/>
      <w:color w:val="000000"/>
      <w:sz w:val="24"/>
    </w:rPr>
  </w:style>
  <w:style w:styleId="Style_19" w:type="paragraph">
    <w:name w:val="Strong"/>
    <w:basedOn w:val="Style_13"/>
    <w:link w:val="Style_19_ch"/>
    <w:rPr>
      <w:b w:val="1"/>
    </w:rPr>
  </w:style>
  <w:style w:styleId="Style_19_ch" w:type="character">
    <w:name w:val="Strong"/>
    <w:basedOn w:val="Style_13_ch"/>
    <w:link w:val="Style_19"/>
    <w:rPr>
      <w:b w:val="1"/>
    </w:rPr>
  </w:style>
  <w:style w:styleId="Style_20" w:type="paragraph">
    <w:name w:val="HTML Preformatted"/>
    <w:basedOn w:val="Style_5"/>
    <w:link w:val="Style_20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20_ch" w:type="character">
    <w:name w:val="HTML Preformatted"/>
    <w:basedOn w:val="Style_5_ch"/>
    <w:link w:val="Style_20"/>
    <w:rPr>
      <w:rFonts w:ascii="Courier New" w:hAnsi="Courier New"/>
      <w:sz w:val="20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heading 5"/>
    <w:next w:val="Style_5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4" w:type="paragraph">
    <w:name w:val="footnote reference"/>
    <w:basedOn w:val="Style_13"/>
    <w:link w:val="Style_4_ch"/>
    <w:rPr>
      <w:vertAlign w:val="superscript"/>
    </w:rPr>
  </w:style>
  <w:style w:styleId="Style_4_ch" w:type="character">
    <w:name w:val="footnote reference"/>
    <w:basedOn w:val="Style_13_ch"/>
    <w:link w:val="Style_4"/>
    <w:rPr>
      <w:vertAlign w:val="superscript"/>
    </w:rPr>
  </w:style>
  <w:style w:styleId="Style_23" w:type="paragraph">
    <w:name w:val="heading 1"/>
    <w:basedOn w:val="Style_5"/>
    <w:next w:val="Style_5"/>
    <w:link w:val="Style_23_ch"/>
    <w:uiPriority w:val="9"/>
    <w:qFormat/>
    <w:pPr>
      <w:keepNext w:val="1"/>
      <w:keepLines w:val="1"/>
      <w:spacing w:after="0" w:line="360" w:lineRule="auto"/>
      <w:ind/>
      <w:jc w:val="center"/>
      <w:outlineLvl w:val="0"/>
    </w:pPr>
    <w:rPr>
      <w:rFonts w:ascii="Times New Roman" w:hAnsi="Times New Roman"/>
      <w:b w:val="1"/>
      <w:sz w:val="28"/>
    </w:rPr>
  </w:style>
  <w:style w:styleId="Style_23_ch" w:type="character">
    <w:name w:val="heading 1"/>
    <w:basedOn w:val="Style_5_ch"/>
    <w:link w:val="Style_23"/>
    <w:rPr>
      <w:rFonts w:ascii="Times New Roman" w:hAnsi="Times New Roman"/>
      <w:b w:val="1"/>
      <w:sz w:val="28"/>
    </w:rPr>
  </w:style>
  <w:style w:styleId="Style_24" w:type="paragraph">
    <w:name w:val="Emphasis"/>
    <w:basedOn w:val="Style_13"/>
    <w:link w:val="Style_24_ch"/>
    <w:rPr>
      <w:i w:val="1"/>
    </w:rPr>
  </w:style>
  <w:style w:styleId="Style_24_ch" w:type="character">
    <w:name w:val="Emphasis"/>
    <w:basedOn w:val="Style_13_ch"/>
    <w:link w:val="Style_24"/>
    <w:rPr>
      <w:i w:val="1"/>
    </w:rPr>
  </w:style>
  <w:style w:styleId="Style_25" w:type="paragraph">
    <w:name w:val="Дата1"/>
    <w:basedOn w:val="Style_13"/>
    <w:link w:val="Style_25_ch"/>
  </w:style>
  <w:style w:styleId="Style_25_ch" w:type="character">
    <w:name w:val="Дата1"/>
    <w:basedOn w:val="Style_13_ch"/>
    <w:link w:val="Style_25"/>
  </w:style>
  <w:style w:styleId="Style_26" w:type="paragraph">
    <w:name w:val="Стиль"/>
    <w:link w:val="Style_26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6_ch" w:type="character">
    <w:name w:val="Стиль"/>
    <w:link w:val="Style_26"/>
    <w:rPr>
      <w:rFonts w:ascii="Times New Roman" w:hAnsi="Times New Roman"/>
      <w:sz w:val="24"/>
    </w:rPr>
  </w:style>
  <w:style w:styleId="Style_27" w:type="paragraph">
    <w:name w:val="Основной текст (2)"/>
    <w:basedOn w:val="Style_5"/>
    <w:link w:val="Style_27_ch"/>
    <w:pPr>
      <w:widowControl w:val="0"/>
      <w:spacing w:after="1560" w:line="0" w:lineRule="atLeast"/>
      <w:ind/>
      <w:jc w:val="right"/>
    </w:pPr>
    <w:rPr>
      <w:sz w:val="26"/>
    </w:rPr>
  </w:style>
  <w:style w:styleId="Style_27_ch" w:type="character">
    <w:name w:val="Основной текст (2)"/>
    <w:basedOn w:val="Style_5_ch"/>
    <w:link w:val="Style_27"/>
    <w:rPr>
      <w:sz w:val="26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basedOn w:val="Style_5"/>
    <w:link w:val="Style_29_ch"/>
    <w:pPr>
      <w:spacing w:after="0" w:line="240" w:lineRule="auto"/>
      <w:ind/>
    </w:pPr>
    <w:rPr>
      <w:sz w:val="20"/>
    </w:rPr>
  </w:style>
  <w:style w:styleId="Style_29_ch" w:type="character">
    <w:name w:val="Footnote"/>
    <w:basedOn w:val="Style_5_ch"/>
    <w:link w:val="Style_29"/>
    <w:rPr>
      <w:sz w:val="20"/>
    </w:rPr>
  </w:style>
  <w:style w:styleId="Style_30" w:type="paragraph">
    <w:name w:val="toc 1"/>
    <w:basedOn w:val="Style_5"/>
    <w:next w:val="Style_5"/>
    <w:link w:val="Style_30_ch"/>
    <w:uiPriority w:val="39"/>
    <w:pPr>
      <w:tabs>
        <w:tab w:leader="dot" w:pos="9345" w:val="right"/>
      </w:tabs>
      <w:spacing w:after="100"/>
      <w:ind/>
      <w:jc w:val="both"/>
    </w:pPr>
  </w:style>
  <w:style w:styleId="Style_30_ch" w:type="character">
    <w:name w:val="toc 1"/>
    <w:basedOn w:val="Style_5_ch"/>
    <w:link w:val="Style_30"/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number"/>
    <w:basedOn w:val="Style_13"/>
    <w:link w:val="Style_32_ch"/>
  </w:style>
  <w:style w:styleId="Style_32_ch" w:type="character">
    <w:name w:val="number"/>
    <w:basedOn w:val="Style_13_ch"/>
    <w:link w:val="Style_32"/>
  </w:style>
  <w:style w:styleId="Style_33" w:type="paragraph">
    <w:name w:val="consplusnormal"/>
    <w:basedOn w:val="Style_5"/>
    <w:link w:val="Style_3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3_ch" w:type="character">
    <w:name w:val="consplusnormal"/>
    <w:basedOn w:val="Style_5_ch"/>
    <w:link w:val="Style_33"/>
    <w:rPr>
      <w:rFonts w:ascii="Times New Roman" w:hAnsi="Times New Roman"/>
      <w:sz w:val="24"/>
    </w:rPr>
  </w:style>
  <w:style w:styleId="Style_34" w:type="paragraph">
    <w:name w:val="toc 9"/>
    <w:next w:val="Style_5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a"/>
    <w:basedOn w:val="Style_5"/>
    <w:link w:val="Style_3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5_ch" w:type="character">
    <w:name w:val="a"/>
    <w:basedOn w:val="Style_5_ch"/>
    <w:link w:val="Style_35"/>
    <w:rPr>
      <w:rFonts w:ascii="Times New Roman" w:hAnsi="Times New Roman"/>
      <w:sz w:val="24"/>
    </w:rPr>
  </w:style>
  <w:style w:styleId="Style_36" w:type="paragraph">
    <w:name w:val="endnote reference"/>
    <w:basedOn w:val="Style_13"/>
    <w:link w:val="Style_36_ch"/>
    <w:rPr>
      <w:vertAlign w:val="superscript"/>
    </w:rPr>
  </w:style>
  <w:style w:styleId="Style_36_ch" w:type="character">
    <w:name w:val="endnote reference"/>
    <w:basedOn w:val="Style_13_ch"/>
    <w:link w:val="Style_36"/>
    <w:rPr>
      <w:vertAlign w:val="superscript"/>
    </w:rPr>
  </w:style>
  <w:style w:styleId="Style_37" w:type="paragraph">
    <w:name w:val="toc 8"/>
    <w:next w:val="Style_5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No Spacing"/>
    <w:link w:val="Style_38_ch"/>
    <w:pPr>
      <w:spacing w:after="0" w:line="240" w:lineRule="auto"/>
      <w:ind/>
    </w:pPr>
  </w:style>
  <w:style w:styleId="Style_38_ch" w:type="character">
    <w:name w:val="No Spacing"/>
    <w:link w:val="Style_38"/>
  </w:style>
  <w:style w:styleId="Style_39" w:type="paragraph">
    <w:name w:val="toc 5"/>
    <w:next w:val="Style_5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Subtitle"/>
    <w:next w:val="Style_5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ConsPlusNormal"/>
    <w:link w:val="Style_41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41_ch" w:type="character">
    <w:name w:val="ConsPlusNormal"/>
    <w:link w:val="Style_41"/>
    <w:rPr>
      <w:rFonts w:ascii="Arial" w:hAnsi="Arial"/>
      <w:sz w:val="20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42" w:type="paragraph">
    <w:name w:val="Title"/>
    <w:next w:val="Style_5"/>
    <w:link w:val="Style_4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2_ch" w:type="character">
    <w:name w:val="Title"/>
    <w:link w:val="Style_42"/>
    <w:rPr>
      <w:rFonts w:ascii="XO Thames" w:hAnsi="XO Thames"/>
      <w:b w:val="1"/>
      <w:caps w:val="1"/>
      <w:sz w:val="40"/>
    </w:rPr>
  </w:style>
  <w:style w:styleId="Style_43" w:type="paragraph">
    <w:name w:val="heading 4"/>
    <w:next w:val="Style_5"/>
    <w:link w:val="Style_4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44" w:type="paragraph">
    <w:name w:val="heading 2"/>
    <w:basedOn w:val="Style_5"/>
    <w:link w:val="Style_44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44_ch" w:type="character">
    <w:name w:val="heading 2"/>
    <w:basedOn w:val="Style_5_ch"/>
    <w:link w:val="Style_44"/>
    <w:rPr>
      <w:rFonts w:ascii="Times New Roman" w:hAnsi="Times New Roman"/>
      <w:b w:val="1"/>
      <w:sz w:val="36"/>
    </w:rPr>
  </w:style>
  <w:style w:styleId="Style_45" w:type="paragraph">
    <w:name w:val="mms"/>
    <w:basedOn w:val="Style_5"/>
    <w:link w:val="Style_4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5_ch" w:type="character">
    <w:name w:val="mms"/>
    <w:basedOn w:val="Style_5_ch"/>
    <w:link w:val="Style_45"/>
    <w:rPr>
      <w:rFonts w:ascii="Times New Roman" w:hAnsi="Times New Roman"/>
      <w:sz w:val="24"/>
    </w:rPr>
  </w:style>
  <w:style w:styleId="Style_46" w:type="paragraph">
    <w:name w:val="apple-converted-space"/>
    <w:basedOn w:val="Style_13"/>
    <w:link w:val="Style_46_ch"/>
  </w:style>
  <w:style w:styleId="Style_46_ch" w:type="character">
    <w:name w:val="apple-converted-space"/>
    <w:basedOn w:val="Style_13_ch"/>
    <w:link w:val="Style_46"/>
  </w:style>
  <w:style w:styleId="Style_47" w:type="table">
    <w:name w:val="Сетка таблицы1"/>
    <w:basedOn w:val="Style_48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9" w:type="table">
    <w:name w:val="Table Grid"/>
    <w:basedOn w:val="Style_48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footnotes.xml" Type="http://schemas.openxmlformats.org/officeDocument/2006/relationships/footnotes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11" Target="endnotes.xml" Type="http://schemas.openxmlformats.org/officeDocument/2006/relationships/endnotes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2026-04-05T04:55:38Z</dcterms:modified>
</cp:coreProperties>
</file>