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right"/>
        <w:rPr>
          <w:rFonts w:ascii="Times New Roman" w:cs="Times New Roman" w:hAnsi="Times New Roman"/>
          <w:b/>
          <w:bCs/>
          <w:sz w:val="28"/>
          <w:szCs w:val="28"/>
        </w:rPr>
      </w:pPr>
      <w:r>
        <w:rPr>
          <w:rFonts w:ascii="Times New Roman" w:cs="Times New Roman" w:hAnsi="Times New Roman"/>
          <w:b/>
          <w:bCs/>
          <w:sz w:val="28"/>
          <w:szCs w:val="28"/>
        </w:rPr>
        <w:t>Ахтапова</w:t>
      </w:r>
      <w:r>
        <w:rPr>
          <w:rFonts w:ascii="Times New Roman" w:cs="Times New Roman" w:hAnsi="Times New Roman"/>
          <w:b/>
          <w:bCs/>
          <w:sz w:val="28"/>
          <w:szCs w:val="28"/>
        </w:rPr>
        <w:t xml:space="preserve"> Н.Р, Русакова К.М.</w:t>
      </w:r>
    </w:p>
    <w:p>
      <w:pPr>
        <w:pStyle w:val="style0"/>
        <w:jc w:val="right"/>
        <w:rPr>
          <w:rFonts w:ascii="Times New Roman" w:cs="Times New Roman" w:hAnsi="Times New Roman"/>
          <w:sz w:val="28"/>
          <w:szCs w:val="28"/>
        </w:rPr>
      </w:pPr>
      <w:r>
        <w:rPr>
          <w:rFonts w:ascii="Times New Roman" w:cs="Times New Roman" w:hAnsi="Times New Roman"/>
          <w:sz w:val="28"/>
          <w:szCs w:val="28"/>
        </w:rPr>
        <w:t>бакалавриаты 4 курса ФГБОУ ВО</w:t>
      </w:r>
    </w:p>
    <w:p>
      <w:pPr>
        <w:pStyle w:val="style0"/>
        <w:jc w:val="right"/>
        <w:rPr>
          <w:rFonts w:ascii="Times New Roman" w:cs="Times New Roman" w:hAnsi="Times New Roman"/>
          <w:sz w:val="28"/>
          <w:szCs w:val="28"/>
        </w:rPr>
      </w:pPr>
      <w:r>
        <w:rPr>
          <w:rFonts w:ascii="Times New Roman" w:cs="Times New Roman" w:hAnsi="Times New Roman"/>
          <w:sz w:val="28"/>
          <w:szCs w:val="28"/>
        </w:rPr>
        <w:t xml:space="preserve">«Ульяновский государственный университет» </w:t>
      </w:r>
    </w:p>
    <w:p>
      <w:pPr>
        <w:pStyle w:val="style0"/>
        <w:jc w:val="right"/>
        <w:rPr>
          <w:rFonts w:ascii="Times New Roman" w:cs="Times New Roman" w:hAnsi="Times New Roman"/>
          <w:sz w:val="28"/>
          <w:szCs w:val="28"/>
        </w:rPr>
      </w:pPr>
      <w:r>
        <w:rPr>
          <w:rFonts w:ascii="Times New Roman" w:cs="Times New Roman" w:hAnsi="Times New Roman"/>
          <w:sz w:val="28"/>
          <w:szCs w:val="28"/>
        </w:rPr>
        <w:t>Российская Федерация, г. Ульяновск</w:t>
      </w:r>
    </w:p>
    <w:p>
      <w:pPr>
        <w:pStyle w:val="style0"/>
        <w:jc w:val="right"/>
        <w:rPr>
          <w:rFonts w:ascii="Times New Roman" w:cs="Times New Roman" w:hAnsi="Times New Roman"/>
          <w:sz w:val="28"/>
          <w:szCs w:val="28"/>
        </w:rPr>
      </w:pPr>
    </w:p>
    <w:p>
      <w:pPr>
        <w:pStyle w:val="style0"/>
        <w:jc w:val="center"/>
        <w:rPr>
          <w:rFonts w:ascii="Times New Roman" w:cs="Times New Roman" w:hAnsi="Times New Roman"/>
          <w:b/>
          <w:bCs/>
          <w:sz w:val="28"/>
          <w:szCs w:val="28"/>
        </w:rPr>
      </w:pPr>
      <w:r>
        <w:rPr>
          <w:rFonts w:ascii="Times New Roman" w:cs="Times New Roman" w:hAnsi="Times New Roman"/>
          <w:b/>
          <w:bCs/>
          <w:sz w:val="28"/>
          <w:szCs w:val="28"/>
        </w:rPr>
        <w:t>СЛУЖЕБНЫЙ ПОДЛОГ</w:t>
      </w:r>
    </w:p>
    <w:p>
      <w:pPr>
        <w:pStyle w:val="style0"/>
        <w:rPr>
          <w:rFonts w:ascii="Times New Roman" w:cs="Times New Roman" w:hAnsi="Times New Roman"/>
          <w:sz w:val="28"/>
          <w:szCs w:val="28"/>
        </w:rPr>
      </w:pPr>
    </w:p>
    <w:p>
      <w:pPr>
        <w:pStyle w:val="style0"/>
        <w:ind w:firstLine="708"/>
        <w:jc w:val="both"/>
        <w:rPr>
          <w:rFonts w:ascii="Times New Roman" w:cs="Times New Roman" w:hAnsi="Times New Roman"/>
          <w:sz w:val="28"/>
          <w:szCs w:val="28"/>
        </w:rPr>
      </w:pPr>
      <w:r>
        <w:rPr>
          <w:rFonts w:ascii="Times New Roman" w:cs="Times New Roman" w:hAnsi="Times New Roman"/>
          <w:i/>
          <w:iCs/>
          <w:sz w:val="28"/>
          <w:szCs w:val="28"/>
        </w:rPr>
        <w:t>Аннотация.</w:t>
      </w:r>
      <w:r>
        <w:rPr>
          <w:rFonts w:ascii="Times New Roman" w:cs="Times New Roman" w:hAnsi="Times New Roman"/>
          <w:sz w:val="28"/>
          <w:szCs w:val="28"/>
        </w:rPr>
        <w:t xml:space="preserve"> В статье рассматриваются уголовно-правовая характеристика служебного подлога, особенности его объекта, объективной и субъективной стороны, а также вопросы разграничения с иными составами преступлений. Особое внимание уделяется судебной практике применения ст. 292 УК РФ, проблеме квалификации по ч. 1 и ч. 2 указанной статьи, а также тенденциям ужесточения уголовной ответственности за деяния, связанные с искажением содержания официальных документов. Делается вывод о том, что служебный подлог выступает важным элементом коррупционной преступности и нередко используется как средство совершения иных преступлений против государственной власти, интересов службы и собственности.</w:t>
      </w:r>
    </w:p>
    <w:p>
      <w:pPr>
        <w:pStyle w:val="style0"/>
        <w:ind w:firstLine="708"/>
        <w:jc w:val="both"/>
        <w:rPr>
          <w:rFonts w:ascii="Times New Roman" w:cs="Times New Roman" w:hAnsi="Times New Roman"/>
          <w:sz w:val="28"/>
          <w:szCs w:val="28"/>
        </w:rPr>
      </w:pPr>
      <w:r>
        <w:rPr>
          <w:rFonts w:ascii="Times New Roman" w:cs="Times New Roman" w:hAnsi="Times New Roman"/>
          <w:i/>
          <w:iCs/>
          <w:sz w:val="28"/>
          <w:szCs w:val="28"/>
        </w:rPr>
        <w:t>Ключевые слова</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служебный подлог, официальный документ, должностное лицо, корыстная заинтересованность, коррупция, ст. 292 УК РФ, судебная практика.</w:t>
      </w:r>
    </w:p>
    <w:p>
      <w:pPr>
        <w:pStyle w:val="style0"/>
        <w:rPr>
          <w:rFonts w:ascii="Times New Roman" w:cs="Times New Roman" w:hAnsi="Times New Roman"/>
          <w:sz w:val="28"/>
          <w:szCs w:val="28"/>
        </w:rPr>
      </w:pPr>
    </w:p>
    <w:p>
      <w:pPr>
        <w:pStyle w:val="style0"/>
        <w:rPr>
          <w:rFonts w:ascii="Times New Roman" w:cs="Times New Roman" w:hAnsi="Times New Roman"/>
          <w:sz w:val="28"/>
          <w:szCs w:val="28"/>
          <w:lang w:val="en-US"/>
        </w:rPr>
      </w:pPr>
    </w:p>
    <w:p>
      <w:pPr>
        <w:pStyle w:val="style0"/>
        <w:jc w:val="right"/>
        <w:rPr>
          <w:rFonts w:ascii="Times New Roman" w:cs="Times New Roman" w:hAnsi="Times New Roman"/>
          <w:b/>
          <w:bCs/>
          <w:sz w:val="28"/>
          <w:szCs w:val="28"/>
          <w:lang w:val="en-US"/>
        </w:rPr>
      </w:pPr>
      <w:r>
        <w:rPr>
          <w:rFonts w:ascii="Times New Roman" w:cs="Times New Roman" w:hAnsi="Times New Roman"/>
          <w:b/>
          <w:bCs/>
          <w:sz w:val="28"/>
          <w:szCs w:val="28"/>
          <w:lang w:val="en-US"/>
        </w:rPr>
        <w:t>Akhtapova</w:t>
      </w:r>
      <w:r>
        <w:rPr>
          <w:rFonts w:ascii="Times New Roman" w:cs="Times New Roman" w:hAnsi="Times New Roman"/>
          <w:b/>
          <w:bCs/>
          <w:sz w:val="28"/>
          <w:szCs w:val="28"/>
          <w:lang w:val="en-US"/>
        </w:rPr>
        <w:t xml:space="preserve"> N.R., </w:t>
      </w:r>
      <w:r>
        <w:rPr>
          <w:rFonts w:ascii="Times New Roman" w:cs="Times New Roman" w:hAnsi="Times New Roman"/>
          <w:b/>
          <w:bCs/>
          <w:sz w:val="28"/>
          <w:szCs w:val="28"/>
          <w:lang w:val="en-US"/>
        </w:rPr>
        <w:t>Rusakova</w:t>
      </w:r>
      <w:r>
        <w:rPr>
          <w:rFonts w:ascii="Times New Roman" w:cs="Times New Roman" w:hAnsi="Times New Roman"/>
          <w:b/>
          <w:bCs/>
          <w:sz w:val="28"/>
          <w:szCs w:val="28"/>
          <w:lang w:val="en-US"/>
        </w:rPr>
        <w:t xml:space="preserve"> K.M.</w:t>
      </w:r>
    </w:p>
    <w:p>
      <w:pPr>
        <w:pStyle w:val="style0"/>
        <w:jc w:val="right"/>
        <w:rPr>
          <w:rFonts w:ascii="Times New Roman" w:cs="Times New Roman" w:hAnsi="Times New Roman"/>
          <w:sz w:val="28"/>
          <w:szCs w:val="28"/>
          <w:lang w:val="en-US"/>
        </w:rPr>
      </w:pPr>
      <w:r>
        <w:rPr>
          <w:rFonts w:ascii="Times New Roman" w:cs="Times New Roman" w:hAnsi="Times New Roman"/>
          <w:sz w:val="28"/>
          <w:szCs w:val="28"/>
          <w:lang w:val="en-US"/>
        </w:rPr>
        <w:t>4rd year undergraduate students,</w:t>
      </w:r>
    </w:p>
    <w:p>
      <w:pPr>
        <w:pStyle w:val="style0"/>
        <w:jc w:val="right"/>
        <w:rPr>
          <w:rFonts w:ascii="Times New Roman" w:cs="Times New Roman" w:hAnsi="Times New Roman"/>
          <w:sz w:val="28"/>
          <w:szCs w:val="28"/>
          <w:lang w:val="en-US"/>
        </w:rPr>
      </w:pPr>
      <w:r>
        <w:rPr>
          <w:rFonts w:ascii="Times New Roman" w:cs="Times New Roman" w:hAnsi="Times New Roman"/>
          <w:sz w:val="28"/>
          <w:szCs w:val="28"/>
          <w:lang w:val="en-US"/>
        </w:rPr>
        <w:t>Ulyanovsk State University</w:t>
      </w:r>
    </w:p>
    <w:p>
      <w:pPr>
        <w:pStyle w:val="style0"/>
        <w:jc w:val="right"/>
        <w:rPr>
          <w:rFonts w:ascii="Times New Roman" w:cs="Times New Roman" w:hAnsi="Times New Roman"/>
          <w:sz w:val="28"/>
          <w:szCs w:val="28"/>
          <w:lang w:val="en-US"/>
        </w:rPr>
      </w:pPr>
      <w:r>
        <w:rPr>
          <w:rFonts w:ascii="Times New Roman" w:cs="Times New Roman" w:hAnsi="Times New Roman"/>
          <w:sz w:val="28"/>
          <w:szCs w:val="28"/>
          <w:lang w:val="en-US"/>
        </w:rPr>
        <w:t>Russian Federation, Ulyanovsk</w:t>
      </w:r>
    </w:p>
    <w:p>
      <w:pPr>
        <w:pStyle w:val="style0"/>
        <w:jc w:val="right"/>
        <w:rPr>
          <w:rFonts w:ascii="Times New Roman" w:cs="Times New Roman" w:hAnsi="Times New Roman"/>
          <w:sz w:val="28"/>
          <w:szCs w:val="28"/>
          <w:lang w:val="en-US"/>
        </w:rPr>
      </w:pPr>
    </w:p>
    <w:p>
      <w:pPr>
        <w:pStyle w:val="style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OFFICIAL FORGERY</w:t>
      </w:r>
    </w:p>
    <w:p>
      <w:pPr>
        <w:pStyle w:val="style0"/>
        <w:rPr>
          <w:rFonts w:ascii="Times New Roman" w:cs="Times New Roman" w:hAnsi="Times New Roman"/>
          <w:sz w:val="28"/>
          <w:szCs w:val="28"/>
          <w:lang w:val="en-US"/>
        </w:rPr>
      </w:pPr>
    </w:p>
    <w:p>
      <w:pPr>
        <w:pStyle w:val="style0"/>
        <w:ind w:firstLine="708"/>
        <w:jc w:val="both"/>
        <w:rPr>
          <w:rFonts w:ascii="Times New Roman" w:cs="Times New Roman" w:hAnsi="Times New Roman"/>
          <w:sz w:val="28"/>
          <w:szCs w:val="28"/>
          <w:lang w:val="en-US"/>
        </w:rPr>
      </w:pPr>
      <w:r>
        <w:rPr>
          <w:rFonts w:ascii="Times New Roman" w:cs="Times New Roman" w:hAnsi="Times New Roman"/>
          <w:i/>
          <w:iCs/>
          <w:sz w:val="28"/>
          <w:szCs w:val="28"/>
          <w:lang w:val="en-US"/>
        </w:rPr>
        <w:t xml:space="preserve">Abstract. </w:t>
      </w:r>
      <w:r>
        <w:rPr>
          <w:rFonts w:ascii="Times New Roman" w:cs="Times New Roman" w:hAnsi="Times New Roman"/>
          <w:sz w:val="28"/>
          <w:szCs w:val="28"/>
          <w:lang w:val="en-US"/>
        </w:rPr>
        <w:t>The article analyzes the criminal law features of official forgery under Article 292 of the Criminal Code of the Russian Federation. The author examines the object, objective and subjective elements of the offence, as well as the delimitation of this crime from related offences. Special attention is paid to judicial practice, the differentiation between parts 1 and 2 of Article 292, and the trend toward stricter criminal liability for falsification of official documents. The conclusion is made that official forgery is an important component of corruption-related crime and is often used as a means of committing other offences.</w:t>
      </w:r>
    </w:p>
    <w:p>
      <w:pPr>
        <w:pStyle w:val="style0"/>
        <w:ind w:firstLine="708"/>
        <w:jc w:val="both"/>
        <w:rPr>
          <w:rFonts w:ascii="Times New Roman" w:cs="Times New Roman" w:hAnsi="Times New Roman"/>
          <w:sz w:val="28"/>
          <w:szCs w:val="28"/>
          <w:lang w:val="en-US"/>
        </w:rPr>
      </w:pPr>
      <w:r>
        <w:rPr>
          <w:rFonts w:ascii="Times New Roman" w:cs="Times New Roman" w:hAnsi="Times New Roman"/>
          <w:i/>
          <w:iCs/>
          <w:sz w:val="28"/>
          <w:szCs w:val="28"/>
          <w:lang w:val="en-US"/>
        </w:rPr>
        <w:t>Keywords:</w:t>
      </w:r>
      <w:r>
        <w:rPr>
          <w:rFonts w:ascii="Times New Roman" w:cs="Times New Roman" w:hAnsi="Times New Roman"/>
          <w:sz w:val="28"/>
          <w:szCs w:val="28"/>
          <w:lang w:val="en-US"/>
        </w:rPr>
        <w:t xml:space="preserve"> official forgery, official document, public official, personal interest, corruption, Article 292 of the Criminal Code of the Russian Federation, judicial practice.</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Служебный подлог занимает особое место среди преступлений против государственной власти, интересов государственной службы и службы в органах местного самоуправления. Его общественная опасность обусловлена тем, что искажение сведений в официальных документах подрывает доверие к публичному управлению, затрудняет контроль за действиями должностных лиц и может повлечь существенное нарушение прав граждан, организаций и интересов государства. В современных условиях служебный подлог нередко выступает не как самостоятельное изолированное деяние, а как часть более сложной коррупционной схемы</w:t>
      </w:r>
      <w:r>
        <w:rPr>
          <w:rStyle w:val="style38"/>
          <w:rFonts w:ascii="Times New Roman" w:cs="Times New Roman" w:hAnsi="Times New Roman"/>
          <w:sz w:val="28"/>
          <w:szCs w:val="28"/>
        </w:rPr>
        <w:footnoteReference w:id="1"/>
      </w:r>
      <w:r>
        <w:rPr>
          <w:rFonts w:ascii="Times New Roman" w:cs="Times New Roman" w:hAnsi="Times New Roman"/>
          <w:sz w:val="28"/>
          <w:szCs w:val="28"/>
        </w:rPr>
        <w:t>.</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В соответствии со ст. 292 УК РФ служебным подлогом признается внесение должностным лицом, а также государственным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действия совершены из корыстной или иной личной заинтересованности. Норма носит бланкетный характер, поскольку для ее применения необходимо обращаться к положениям иных отраслей права, определяющих, что именно следует считать официальным документом, а также кто относится к специальному субъекту преступления.</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С объективной стороны служебный подлог выражается в двух альтернативных формах: в внесении в документ ложных сведений и во внесении исправлений, искажающих действительное содержание документа. Первая форма обычно именуется интеллектуальным подлогом, вторая — материальным. Для основного состава преступления, предусмотренного ч. 1 ст. 292 УК РФ, состав является формальным: преступление считается оконченным с момента внесения ложных сведений, независимо от наступления последствий. Для ч. 2 ст. 292 УК РФ наличие последствий является обязательным: деяние должно повлечь существенное нарушение прав и законных интересов граждан, организаций, общества или государства.</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Предметом служебного подлога выступает официальный документ. Под ним понимается документ, исходящий от органа государственной власти, органа местного самоуправления, должностного лица либо иного уполномоченного</w:t>
      </w:r>
      <w:r>
        <w:rPr>
          <w:rFonts w:ascii="Times New Roman" w:cs="Times New Roman" w:hAnsi="Times New Roman"/>
          <w:sz w:val="28"/>
          <w:szCs w:val="28"/>
        </w:rPr>
        <w:t xml:space="preserve"> субъект</w:t>
      </w:r>
      <w:r>
        <w:rPr>
          <w:rFonts w:ascii="Times New Roman" w:cs="Times New Roman" w:hAnsi="Times New Roman"/>
          <w:sz w:val="28"/>
          <w:szCs w:val="28"/>
        </w:rPr>
        <w:t>а и удостоверяющий юридически значимые факты, события или действия. Именно официальность придает документу значение юридического доказательства и делает его предметом уголовно-правовой охраны. Если же документ не обладает официальным характером, содеянное может не подпадать под признаки ст. 292 УК РФ и потребовать иной квалификации</w:t>
      </w:r>
      <w:r>
        <w:rPr>
          <w:rStyle w:val="style38"/>
          <w:rFonts w:ascii="Times New Roman" w:cs="Times New Roman" w:hAnsi="Times New Roman"/>
          <w:sz w:val="28"/>
          <w:szCs w:val="28"/>
        </w:rPr>
        <w:footnoteReference w:id="2"/>
      </w:r>
      <w:r>
        <w:rPr>
          <w:rFonts w:ascii="Times New Roman" w:cs="Times New Roman" w:hAnsi="Times New Roman"/>
          <w:sz w:val="28"/>
          <w:szCs w:val="28"/>
        </w:rPr>
        <w:t>.</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Объект служебного подлога следует рассматривать как по вертикали, так и по горизонтали. Родовым объектом являются общественные отношения, обеспечивающие нормальное функционирование государственной власти; видовым — интересы государственной службы и службы в органах местного самоуправления; непосредственным — установленный порядок документального обеспечения управления и достоверность официального документооборота. Дополнительным объектом могут выступать права и законные интересы граждан, организаций, общества или государства, которые нарушаются вследствие использования подложного документа.</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С субъективной стороны данное преступление характеризуется прямым умыслом. Лицо осознает, что вносит в официальный документ заведомо ложные сведения либо искажает его содержание, и желает совершить такие действия. Обязательным признаком является мотив — корыстная или иная личная заинтересованность. Корыстный мотив связан с извлечением имущественной выгоды, а иная личная заинтересованность может выражаться в стремлении скрыть недостатки в работе, повысить показатели, избежать дисциплинарной ответственности, помочь третьему лицу или создать видимость законности.</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Субъект преступления специальный. Им может быть только должностное лицо, а также государственный или муниципальный служащий, не являющийся должностным лицом. Именно наличие специального статуса обусловливает отличие служебного подлога от подделки документов, ответственность за которую предусмотрена ст. 327 УК РФ. Возраст уголовной ответственности за данное преступление составляет 16 лет.</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Отграничение служебного подлога от смежных составов имеет принципиальное значение для правильной квалификации. От ст. 327 УК РФ он отличается специальным субъектом и предметом преступления: при служебном подлоге речь идет об официальном документе и лице, использующем служебное положение, тогда как по ст. 327 субъект общий. От злоупотребления должностными полномочиями служебный подлог отличается самостоятельным способом искажения документа, а от мошенничества и хищений — тем, что не всегда выступает способом изъятия чужого имущества. Если подлог полностью охватывается составом хищения, дополнительная квалификация по ст. 292 УК РФ может не требоваться; если же он обладает самостоятельной вредоносностью, возможна совокупность преступлений</w:t>
      </w:r>
      <w:r>
        <w:rPr>
          <w:rStyle w:val="style38"/>
          <w:rFonts w:ascii="Times New Roman" w:cs="Times New Roman" w:hAnsi="Times New Roman"/>
          <w:sz w:val="28"/>
          <w:szCs w:val="28"/>
        </w:rPr>
        <w:footnoteReference w:id="3"/>
      </w:r>
      <w:r>
        <w:rPr>
          <w:rFonts w:ascii="Times New Roman" w:cs="Times New Roman" w:hAnsi="Times New Roman"/>
          <w:sz w:val="28"/>
          <w:szCs w:val="28"/>
        </w:rPr>
        <w:t>.</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Судебная практика показывает, что служебный подлог часто выявляется в рамках дел о взяточничестве, мошенничестве, злоупотреблении должностными полномочиями и хищениях. Например, в одном из дел судебный пристав внес в акт о наложении ареста ложные сведения о времени совершения исполнительных действий и об участии понятых, после чего приобщил подложный документ к материалам исполнительного производства. В другом деле инспектор ГИБДД внес ложные сведения о сдаче экзамена и оформил документы на лицо, фактически не сдававшее экзамен. В третьем деле заведующая детским садом систематически оформляла фиктивные табели учета рабочего времени, создавая основу для хищения бюджетных средств</w:t>
      </w:r>
      <w:r>
        <w:rPr>
          <w:rStyle w:val="style38"/>
          <w:rFonts w:ascii="Times New Roman" w:cs="Times New Roman" w:hAnsi="Times New Roman"/>
          <w:sz w:val="28"/>
          <w:szCs w:val="28"/>
        </w:rPr>
        <w:footnoteReference w:id="4"/>
      </w:r>
      <w:r>
        <w:rPr>
          <w:rFonts w:ascii="Times New Roman" w:cs="Times New Roman" w:hAnsi="Times New Roman"/>
          <w:sz w:val="28"/>
          <w:szCs w:val="28"/>
        </w:rPr>
        <w:t>. Эти примеры подтверждают, что служебный подлог нередко выполняет вспомогательную функцию в структуре иных преступлений.</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Пленум Верховного Суда РФ указывал, что при квалификации важно учитывать характер действий виновного, содержание документа, роль подлога в совершении иных преступлений и наличие самостоятельного вреда. Если подлог выступает только способом совершения более тяжкого деяния и не имеет самостоятельного значения, вопрос о дополнительной квалификации решается с учетом правил о конкуренции и совокупности преступлений. Если же он причиняет самостоятельный вред достоверности документооборота и правам потерпевших, ст. 292 УК РФ подлежит самостоятельному применению</w:t>
      </w:r>
      <w:r>
        <w:rPr>
          <w:rStyle w:val="style38"/>
          <w:rFonts w:ascii="Times New Roman" w:cs="Times New Roman" w:hAnsi="Times New Roman"/>
          <w:sz w:val="28"/>
          <w:szCs w:val="28"/>
        </w:rPr>
        <w:footnoteReference w:id="5"/>
      </w:r>
      <w:r>
        <w:rPr>
          <w:rFonts w:ascii="Times New Roman" w:cs="Times New Roman" w:hAnsi="Times New Roman"/>
          <w:sz w:val="28"/>
          <w:szCs w:val="28"/>
        </w:rPr>
        <w:t>.</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Санкции ст. 292 УК РФ демонстрируют дифференцированный подход законодателя. По ч. 1 предусмотрены штраф, обязательные работы, исправительные работы, принудительные работы, арест или лишение свободы на срок до двух лет. По ч. 2 санкция заметно строже: штраф в повышенном размере, принудительные работы либо лишение свободы на срок до четырех лет, а также дополнительное наказание в виде лишения права занимать определенные должности или заниматься определенной деятельностью.</w:t>
      </w:r>
      <w:r>
        <w:rPr>
          <w:rFonts w:ascii="Times New Roman" w:cs="Times New Roman" w:hAnsi="Times New Roman"/>
          <w:sz w:val="28"/>
          <w:szCs w:val="28"/>
        </w:rPr>
        <w:t xml:space="preserve"> </w:t>
      </w:r>
      <w:r>
        <w:rPr>
          <w:rFonts w:ascii="Times New Roman" w:cs="Times New Roman" w:hAnsi="Times New Roman"/>
          <w:sz w:val="28"/>
          <w:szCs w:val="28"/>
        </w:rPr>
        <w:t>Такая конструкция санкции свидетельствует о признании служебного подлога деянием, имеющим повышенную общественную опасность в сфере публичного управления.</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Следует отметить, что современная практика применения ст. 292 УК РФ характеризуется постепенным ужесточением ответственности. Если ранее по делам о служебном подлоге суды чаще ограничивались штрафами или исправительными работами, то в последние годы все чаще назначаются наказания по совокупности преступлений, включая лишение свободы и длительный запрет занимать должности. Это связано с тем, что служебный подлог рассматривается уже не как формальное нарушение, а как элемент коррупционной инфраструктуры, обеспечивающий сокрытие незаконных действий и подрыв доверия к государственным институтам</w:t>
      </w:r>
      <w:r>
        <w:rPr>
          <w:rStyle w:val="style38"/>
          <w:rFonts w:ascii="Times New Roman" w:cs="Times New Roman" w:hAnsi="Times New Roman"/>
          <w:sz w:val="28"/>
          <w:szCs w:val="28"/>
        </w:rPr>
        <w:footnoteReference w:id="6"/>
      </w:r>
      <w:r>
        <w:rPr>
          <w:rFonts w:ascii="Times New Roman" w:cs="Times New Roman" w:hAnsi="Times New Roman"/>
          <w:sz w:val="28"/>
          <w:szCs w:val="28"/>
        </w:rPr>
        <w:t>.</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Статистические данные также подтверждают актуальность проблемы. По данным МВД России, в 2024 году в стране было зарегистрировано около 38,5 тыс. коррупционных преступлений, что на 5,7% больше, чем в 2023 году. В структуре этих деяний служебный подлог занимает сравнительно небольшой, но устойчивый сегмент. Исследования показывают, что в ряде случаев именно подлог позволяет обеспечить документальное прикрытие взяточничества, мошенничества и злоупотребления служебными полномочиями</w:t>
      </w:r>
      <w:r>
        <w:rPr>
          <w:rStyle w:val="style38"/>
          <w:rFonts w:ascii="Times New Roman" w:cs="Times New Roman" w:hAnsi="Times New Roman"/>
          <w:sz w:val="28"/>
          <w:szCs w:val="28"/>
        </w:rPr>
        <w:footnoteReference w:id="7"/>
      </w:r>
      <w:r>
        <w:rPr>
          <w:rFonts w:ascii="Times New Roman" w:cs="Times New Roman" w:hAnsi="Times New Roman"/>
          <w:sz w:val="28"/>
          <w:szCs w:val="28"/>
        </w:rPr>
        <w:t>. Электронный документооборот и цифровизация управления, с одной стороны, упрощают техническую возможность внесения ложных сведений, а с другой — создают дополнительные следы, позволяющие выявлять такие преступления.</w:t>
      </w:r>
    </w:p>
    <w:p>
      <w:pPr>
        <w:pStyle w:val="style0"/>
        <w:ind w:firstLine="708"/>
        <w:jc w:val="both"/>
        <w:rPr>
          <w:rFonts w:ascii="Times New Roman" w:cs="Times New Roman" w:hAnsi="Times New Roman"/>
          <w:sz w:val="28"/>
          <w:szCs w:val="28"/>
        </w:rPr>
      </w:pPr>
      <w:r>
        <w:rPr>
          <w:rFonts w:ascii="Times New Roman" w:cs="Times New Roman" w:hAnsi="Times New Roman"/>
          <w:sz w:val="28"/>
          <w:szCs w:val="28"/>
        </w:rPr>
        <w:t>Таким образом, служебный подлог следует рассматривать как самостоятельное преступление против государственной власти и интересов службы, обладающее выраженной коррупционной направленностью. Его опасность заключается не только в искажении официальных документов, но и в том, что он создает условия для совершения иных преступлений либо скрывает их. Современная судебная практика и тенденции уголовной политики свидетельствуют о возрастающем внимании государства к подобным деяниям, что выражается в более строгой оценке последствий, расширении практики назначения дополнительных наказаний и активном использовании механизмов выявления документальных фальсификаций.</w:t>
      </w:r>
    </w:p>
    <w:p>
      <w:pPr>
        <w:pStyle w:val="style0"/>
        <w:jc w:val="both"/>
        <w:rPr>
          <w:rFonts w:ascii="Times New Roman" w:cs="Times New Roman" w:hAnsi="Times New Roman"/>
          <w:sz w:val="28"/>
          <w:szCs w:val="28"/>
        </w:rPr>
      </w:pPr>
    </w:p>
    <w:bookmarkStart w:id="0" w:name="_Toc22486"/>
    <w:p>
      <w:pPr>
        <w:pStyle w:val="style1"/>
        <w:rPr>
          <w:rFonts w:cs="Times New Roman"/>
          <w:b w:val="false"/>
          <w:bCs/>
          <w:szCs w:val="28"/>
        </w:rPr>
      </w:pPr>
      <w:r>
        <w:rPr>
          <w:rFonts w:cs="Times New Roman"/>
          <w:bCs/>
          <w:szCs w:val="28"/>
        </w:rPr>
        <w:t>СПИСОК ИСПОЛЬЗУЕМЫХ ИСТОЧНИКОВ</w:t>
      </w:r>
      <w:bookmarkEnd w:id="0"/>
    </w:p>
    <w:p>
      <w:pPr>
        <w:pStyle w:val="style0"/>
        <w:spacing w:lineRule="auto" w:line="360"/>
        <w:jc w:val="center"/>
        <w:contextualSpacing/>
        <w:rPr>
          <w:rFonts w:ascii="Times New Roman" w:cs="Times New Roman" w:hAnsi="Times New Roman"/>
          <w:sz w:val="28"/>
          <w:szCs w:val="28"/>
        </w:rPr>
      </w:pPr>
      <w:r>
        <w:rPr>
          <w:rFonts w:ascii="Times New Roman" w:cs="Times New Roman" w:hAnsi="Times New Roman"/>
          <w:b/>
          <w:sz w:val="28"/>
          <w:szCs w:val="28"/>
        </w:rPr>
        <w:t>Нормативно-правовые акты Российской Федерации</w:t>
      </w:r>
    </w:p>
    <w:p>
      <w:pPr>
        <w:pStyle w:val="style179"/>
        <w:numPr>
          <w:ilvl w:val="0"/>
          <w:numId w:val="1"/>
        </w:numPr>
        <w:spacing w:lineRule="auto" w:line="360"/>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w:t>
      </w:r>
      <w:r>
        <w:rPr>
          <w:rFonts w:ascii="Times New Roman" w:cs="Times New Roman" w:hAnsi="Times New Roman"/>
          <w:sz w:val="28"/>
          <w:szCs w:val="28"/>
        </w:rPr>
        <w:t>http</w:t>
      </w:r>
      <w:r>
        <w:rPr>
          <w:rFonts w:ascii="Times New Roman" w:cs="Times New Roman" w:hAnsi="Times New Roman"/>
          <w:sz w:val="28"/>
          <w:szCs w:val="28"/>
          <w:lang w:val="ru-RU"/>
        </w:rPr>
        <w:t>://</w:t>
      </w:r>
      <w:r>
        <w:rPr>
          <w:rFonts w:ascii="Times New Roman" w:cs="Times New Roman" w:hAnsi="Times New Roman"/>
          <w:sz w:val="28"/>
          <w:szCs w:val="28"/>
        </w:rPr>
        <w:t>pravo</w:t>
      </w:r>
      <w:r>
        <w:rPr>
          <w:rFonts w:ascii="Times New Roman" w:cs="Times New Roman" w:hAnsi="Times New Roman"/>
          <w:sz w:val="28"/>
          <w:szCs w:val="28"/>
          <w:lang w:val="ru-RU"/>
        </w:rPr>
        <w:t>.</w:t>
      </w:r>
      <w:r>
        <w:rPr>
          <w:rFonts w:ascii="Times New Roman" w:cs="Times New Roman" w:hAnsi="Times New Roman"/>
          <w:sz w:val="28"/>
          <w:szCs w:val="28"/>
        </w:rPr>
        <w:t>gov</w:t>
      </w:r>
      <w:r>
        <w:rPr>
          <w:rFonts w:ascii="Times New Roman" w:cs="Times New Roman" w:hAnsi="Times New Roman"/>
          <w:sz w:val="28"/>
          <w:szCs w:val="28"/>
          <w:lang w:val="ru-RU"/>
        </w:rPr>
        <w:t>.</w:t>
      </w:r>
      <w:r>
        <w:rPr>
          <w:rFonts w:ascii="Times New Roman" w:cs="Times New Roman" w:hAnsi="Times New Roman"/>
          <w:sz w:val="28"/>
          <w:szCs w:val="28"/>
        </w:rPr>
        <w:t>ru</w:t>
      </w:r>
      <w:r>
        <w:rPr>
          <w:rFonts w:ascii="Times New Roman" w:cs="Times New Roman" w:hAnsi="Times New Roman"/>
          <w:sz w:val="28"/>
          <w:szCs w:val="28"/>
          <w:lang w:val="ru-RU"/>
        </w:rPr>
        <w:t>, 06.11.2025.</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shd w:val="clear" w:color="auto" w:fill="ffffff"/>
          <w:lang w:val="ru-RU"/>
        </w:rPr>
        <w:t xml:space="preserve">Уголовный кодекс Российской Федерации от 13 июня 1996 г. № 63-ФЗ (ред. от 28.02.2025) // Собрание законодательства Российской Федерации.- </w:t>
      </w:r>
      <w:r>
        <w:rPr>
          <w:rFonts w:ascii="Times New Roman" w:cs="Times New Roman" w:hAnsi="Times New Roman"/>
          <w:sz w:val="28"/>
          <w:szCs w:val="28"/>
          <w:shd w:val="clear" w:color="auto" w:fill="ffffff"/>
        </w:rPr>
        <w:t>1996. - № 25. Ст. 2954 ; 2024. - № 53 (часть I). - Ст. 8525.</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Федеральный закон от 07 декабря 2011 г. № 420‑ФЗ «О внесении изменений в Уголовный кодекс Российской Федерации и отдельные законодательные акты Российской Федерации» // Собрание законодательства РФ. 2011. № 50. Ст. 7362.</w:t>
      </w:r>
    </w:p>
    <w:p>
      <w:pPr>
        <w:pStyle w:val="style179"/>
        <w:spacing w:lineRule="auto" w:line="360"/>
        <w:ind w:left="425"/>
        <w:jc w:val="both"/>
        <w:rPr>
          <w:rFonts w:ascii="Times New Roman" w:cs="Times New Roman" w:hAnsi="Times New Roman"/>
          <w:sz w:val="28"/>
          <w:szCs w:val="28"/>
        </w:rPr>
      </w:pPr>
    </w:p>
    <w:p>
      <w:pPr>
        <w:pStyle w:val="style179"/>
        <w:spacing w:lineRule="auto" w:line="360"/>
        <w:ind w:left="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Судебная и иная правоприменительная практика</w:t>
      </w:r>
    </w:p>
    <w:p>
      <w:pPr>
        <w:pStyle w:val="style179"/>
        <w:spacing w:lineRule="auto" w:line="360"/>
        <w:ind w:left="0"/>
        <w:jc w:val="center"/>
        <w:rPr>
          <w:lang w:val="ru-RU"/>
        </w:rPr>
      </w:pPr>
    </w:p>
    <w:p>
      <w:pPr>
        <w:pStyle w:val="style179"/>
        <w:numPr>
          <w:ilvl w:val="0"/>
          <w:numId w:val="1"/>
        </w:numPr>
        <w:spacing w:lineRule="auto" w:line="360"/>
        <w:jc w:val="both"/>
        <w:rPr>
          <w:rFonts w:ascii="Times New Roman" w:cs="Times New Roman" w:hAnsi="Times New Roman"/>
          <w:sz w:val="28"/>
          <w:szCs w:val="28"/>
          <w:lang w:val="ru-RU"/>
        </w:rPr>
      </w:pPr>
      <w:r>
        <w:rPr>
          <w:rFonts w:ascii="Times New Roman" w:cs="Times New Roman" w:hAnsi="Times New Roman"/>
          <w:sz w:val="28"/>
          <w:szCs w:val="28"/>
          <w:lang w:val="ru-RU"/>
        </w:rPr>
        <w:t>Приговор № 1-272/2025 от 28 августа 2025 г. по делу № 1-272/2025.** — Текст : электронный // Судебные и нормативные акты РФ (</w:t>
      </w:r>
      <w:r>
        <w:rPr>
          <w:rFonts w:ascii="Times New Roman" w:cs="Times New Roman" w:hAnsi="Times New Roman"/>
          <w:sz w:val="28"/>
          <w:szCs w:val="28"/>
          <w:lang w:val="ru-RU"/>
        </w:rPr>
        <w:t>СудАкт</w:t>
      </w:r>
      <w:r>
        <w:rPr>
          <w:rFonts w:ascii="Times New Roman" w:cs="Times New Roman" w:hAnsi="Times New Roman"/>
          <w:sz w:val="28"/>
          <w:szCs w:val="28"/>
          <w:lang w:val="ru-RU"/>
        </w:rPr>
        <w:t>) : [сайт]. — URL: https://sudact.ru/regular/doc/6603CVGF5QN0/ (дата обращения: 26.02.2026).</w:t>
      </w:r>
    </w:p>
    <w:p>
      <w:pPr>
        <w:pStyle w:val="style179"/>
        <w:numPr>
          <w:ilvl w:val="0"/>
          <w:numId w:val="1"/>
        </w:numPr>
        <w:spacing w:lineRule="auto" w:line="360"/>
        <w:jc w:val="both"/>
        <w:rPr>
          <w:rFonts w:ascii="Times New Roman" w:cs="Times New Roman" w:hAnsi="Times New Roman"/>
          <w:sz w:val="28"/>
          <w:szCs w:val="28"/>
          <w:lang w:val="ru-RU"/>
        </w:rPr>
      </w:pPr>
      <w:r>
        <w:rPr>
          <w:rFonts w:ascii="Times New Roman" w:cs="Times New Roman" w:hAnsi="Times New Roman"/>
          <w:sz w:val="28"/>
          <w:szCs w:val="28"/>
          <w:lang w:val="ru-RU"/>
        </w:rPr>
        <w:t>Приговор № 1-69/2025 от 27 августа 2025 г. по делу № 1-69/2025.** — Текст : электронный // Судебные и нормативные акты РФ (</w:t>
      </w:r>
      <w:r>
        <w:rPr>
          <w:rFonts w:ascii="Times New Roman" w:cs="Times New Roman" w:hAnsi="Times New Roman"/>
          <w:sz w:val="28"/>
          <w:szCs w:val="28"/>
          <w:lang w:val="ru-RU"/>
        </w:rPr>
        <w:t>СудАкт</w:t>
      </w:r>
      <w:r>
        <w:rPr>
          <w:rFonts w:ascii="Times New Roman" w:cs="Times New Roman" w:hAnsi="Times New Roman"/>
          <w:sz w:val="28"/>
          <w:szCs w:val="28"/>
          <w:lang w:val="ru-RU"/>
        </w:rPr>
        <w:t>) : [сайт]. — URL: https://sudact.ru/regular/doc/1ycv73pQpFod/ (дата обращения: 26.02.2026).</w:t>
      </w:r>
    </w:p>
    <w:p>
      <w:pPr>
        <w:pStyle w:val="style179"/>
        <w:numPr>
          <w:ilvl w:val="0"/>
          <w:numId w:val="1"/>
        </w:numPr>
        <w:spacing w:lineRule="auto" w:line="360"/>
        <w:jc w:val="both"/>
        <w:rPr>
          <w:rFonts w:ascii="Times New Roman" w:cs="Times New Roman" w:hAnsi="Times New Roman"/>
          <w:sz w:val="28"/>
          <w:szCs w:val="28"/>
          <w:lang w:val="ru-RU"/>
        </w:rPr>
      </w:pPr>
      <w:r>
        <w:rPr>
          <w:rFonts w:ascii="Times New Roman" w:cs="Times New Roman" w:hAnsi="Times New Roman"/>
          <w:sz w:val="28"/>
          <w:szCs w:val="28"/>
          <w:lang w:val="ru-RU"/>
        </w:rPr>
        <w:t>Приговор № 1-14/2025 от 24 августа 2025 г. по делу № 1-14/2025.** — Текст : электронный // Судебные и нормативные акты РФ (</w:t>
      </w:r>
      <w:r>
        <w:rPr>
          <w:rFonts w:ascii="Times New Roman" w:cs="Times New Roman" w:hAnsi="Times New Roman"/>
          <w:sz w:val="28"/>
          <w:szCs w:val="28"/>
          <w:lang w:val="ru-RU"/>
        </w:rPr>
        <w:t>СудАкт</w:t>
      </w:r>
      <w:r>
        <w:rPr>
          <w:rFonts w:ascii="Times New Roman" w:cs="Times New Roman" w:hAnsi="Times New Roman"/>
          <w:sz w:val="28"/>
          <w:szCs w:val="28"/>
          <w:lang w:val="ru-RU"/>
        </w:rPr>
        <w:t>) : [сайт]. — URL: https://sudact.ru/regular/doc/yRLCGvnUg5Qw/ (дата обращения: 26.02.2026).</w:t>
      </w:r>
    </w:p>
    <w:p>
      <w:pPr>
        <w:pStyle w:val="style0"/>
        <w:rPr>
          <w:rFonts w:ascii="Times New Roman" w:cs="Times New Roman" w:hAnsi="Times New Roman"/>
          <w:sz w:val="28"/>
          <w:szCs w:val="28"/>
        </w:rPr>
      </w:pPr>
      <w:r>
        <w:rPr>
          <w:rFonts w:ascii="Times New Roman" w:cs="Times New Roman" w:hAnsi="Times New Roman"/>
          <w:sz w:val="28"/>
          <w:szCs w:val="28"/>
        </w:rPr>
        <w:t xml:space="preserve"> </w:t>
      </w:r>
    </w:p>
    <w:p>
      <w:pPr>
        <w:pStyle w:val="style179"/>
        <w:tabs>
          <w:tab w:val="left" w:leader="none" w:pos="425"/>
        </w:tabs>
        <w:spacing w:lineRule="auto" w:line="360"/>
        <w:ind w:left="425"/>
        <w:jc w:val="center"/>
        <w:rPr>
          <w:rFonts w:ascii="Times New Roman" w:cs="Times New Roman" w:hAnsi="Times New Roman"/>
          <w:b/>
          <w:bCs/>
          <w:sz w:val="28"/>
          <w:szCs w:val="28"/>
          <w:lang w:val="ru-RU"/>
        </w:rPr>
      </w:pPr>
      <w:r>
        <w:rPr>
          <w:rFonts w:ascii="Times New Roman" w:cs="Times New Roman" w:hAnsi="Times New Roman"/>
          <w:b/>
          <w:bCs/>
          <w:sz w:val="28"/>
          <w:szCs w:val="28"/>
          <w:lang w:val="ru-RU"/>
        </w:rPr>
        <w:t>Статистические и информационно-аналитические материалы</w:t>
      </w:r>
    </w:p>
    <w:p>
      <w:pPr>
        <w:pStyle w:val="style179"/>
        <w:numPr>
          <w:ilvl w:val="0"/>
          <w:numId w:val="1"/>
        </w:numPr>
        <w:rPr>
          <w:rFonts w:ascii="Times New Roman" w:cs="Times New Roman" w:hAnsi="Times New Roman"/>
          <w:sz w:val="28"/>
          <w:szCs w:val="28"/>
        </w:rPr>
      </w:pPr>
      <w:r>
        <w:rPr>
          <w:rFonts w:ascii="Times New Roman" w:cs="Times New Roman" w:hAnsi="Times New Roman"/>
          <w:color w:val="000000"/>
          <w:sz w:val="28"/>
          <w:szCs w:val="28"/>
          <w:lang w:val="ru-RU"/>
        </w:rPr>
        <w:t xml:space="preserve">Обзор количественных показателей преступности сотрудников органов внутренних дел России // </w:t>
      </w:r>
      <w:r>
        <w:rPr>
          <w:rFonts w:ascii="Times New Roman" w:cs="Times New Roman" w:hAnsi="Times New Roman"/>
          <w:color w:val="000000"/>
          <w:sz w:val="28"/>
          <w:szCs w:val="28"/>
          <w:lang w:val="ru-RU"/>
        </w:rPr>
        <w:t>КиберЛенинка</w:t>
      </w:r>
      <w:r>
        <w:rPr>
          <w:rFonts w:ascii="Times New Roman" w:cs="Times New Roman" w:hAnsi="Times New Roman"/>
          <w:color w:val="000000"/>
          <w:sz w:val="28"/>
          <w:szCs w:val="28"/>
          <w:lang w:val="ru-RU"/>
        </w:rPr>
        <w:t xml:space="preserve"> : [сайт]. — URL: https://cyberleninka.ru (дата обращения: 26.02.2026).</w:t>
      </w:r>
    </w:p>
    <w:p>
      <w:pPr>
        <w:pStyle w:val="style179"/>
        <w:numPr>
          <w:ilvl w:val="0"/>
          <w:numId w:val="1"/>
        </w:numPr>
        <w:spacing w:lineRule="auto" w:line="360"/>
        <w:jc w:val="both"/>
        <w:rPr>
          <w:rFonts w:ascii="Times New Roman" w:cs="Times New Roman" w:hAnsi="Times New Roman"/>
          <w:b/>
          <w:bCs/>
          <w:color w:val="000000"/>
          <w:sz w:val="28"/>
          <w:szCs w:val="28"/>
          <w:lang w:val="ru-RU"/>
        </w:rPr>
      </w:pPr>
      <w:r>
        <w:rPr>
          <w:rFonts w:ascii="Times New Roman" w:cs="Times New Roman" w:hAnsi="Times New Roman"/>
          <w:color w:val="000000"/>
          <w:sz w:val="28"/>
          <w:szCs w:val="28"/>
          <w:lang w:val="ru-RU"/>
        </w:rPr>
        <w:t>Генеральная прокуратура Российской Федерации. Данные о коррупционных преступлениях за 2023–2024 гг. — Текст : электронный. URL:</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https://epp.genproc.gov.ru/ru/gprf/?ref=vc.ru&amp;ysclid=mnfzd7m36v993854204 </w:t>
      </w:r>
      <w:r>
        <w:rPr>
          <w:rFonts w:ascii="Times New Roman" w:cs="Times New Roman" w:hAnsi="Times New Roman"/>
          <w:color w:val="000000"/>
          <w:sz w:val="28"/>
          <w:szCs w:val="28"/>
          <w:lang w:val="ru-RU"/>
        </w:rPr>
        <w:t>(дата обращения: 26.02.2026).</w:t>
      </w:r>
    </w:p>
    <w:p>
      <w:pPr>
        <w:pStyle w:val="style179"/>
        <w:ind w:left="425"/>
        <w:rPr>
          <w:rFonts w:ascii="Times New Roman" w:cs="Times New Roman" w:hAnsi="Times New Roman"/>
          <w:sz w:val="28"/>
          <w:szCs w:val="28"/>
        </w:rPr>
      </w:pPr>
    </w:p>
    <w:p>
      <w:pPr>
        <w:pStyle w:val="style179"/>
        <w:tabs>
          <w:tab w:val="left" w:leader="none" w:pos="425"/>
        </w:tabs>
        <w:spacing w:lineRule="auto" w:line="360"/>
        <w:ind w:left="425"/>
        <w:jc w:val="center"/>
        <w:rPr>
          <w:rFonts w:ascii="Times New Roman" w:cs="Times New Roman" w:hAnsi="Times New Roman"/>
          <w:b/>
          <w:bCs/>
          <w:color w:val="000000"/>
          <w:sz w:val="28"/>
          <w:szCs w:val="28"/>
          <w:lang w:val="ru-RU"/>
        </w:rPr>
      </w:pPr>
      <w:r>
        <w:rPr>
          <w:rFonts w:ascii="Times New Roman" w:cs="Times New Roman" w:hAnsi="Times New Roman"/>
          <w:b/>
          <w:bCs/>
          <w:color w:val="000000"/>
          <w:sz w:val="28"/>
          <w:szCs w:val="28"/>
          <w:lang w:val="ru-RU"/>
        </w:rPr>
        <w:t>Научная и учебная литература</w:t>
      </w:r>
    </w:p>
    <w:p>
      <w:pPr>
        <w:pStyle w:val="style179"/>
        <w:tabs>
          <w:tab w:val="left" w:leader="none" w:pos="425"/>
        </w:tabs>
        <w:spacing w:lineRule="auto" w:line="360"/>
        <w:ind w:left="425"/>
        <w:jc w:val="center"/>
        <w:rPr>
          <w:rFonts w:ascii="Times New Roman" w:cs="Times New Roman" w:hAnsi="Times New Roman"/>
          <w:b/>
          <w:bCs/>
          <w:color w:val="000000"/>
          <w:sz w:val="28"/>
          <w:szCs w:val="28"/>
          <w:lang w:val="ru-RU"/>
        </w:rPr>
      </w:pPr>
    </w:p>
    <w:p>
      <w:pPr>
        <w:pStyle w:val="style179"/>
        <w:numPr>
          <w:ilvl w:val="0"/>
          <w:numId w:val="1"/>
        </w:numPr>
        <w:spacing w:lineRule="auto" w:line="360"/>
        <w:jc w:val="both"/>
        <w:rPr>
          <w:rFonts w:ascii="Times New Roman" w:cs="Times New Roman" w:hAnsi="Times New Roman"/>
          <w:color w:val="000000"/>
          <w:sz w:val="28"/>
          <w:szCs w:val="28"/>
          <w:lang w:val="ru-RU"/>
        </w:rPr>
      </w:pP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Романова В. В. Служебный подлог: учебное пособие. СПб. : Санкт-Петербургский юридический институт (филиал) Академии Следственного комитета РФ, 2022. 120 с.</w:t>
      </w:r>
    </w:p>
    <w:p>
      <w:pPr>
        <w:pStyle w:val="style179"/>
        <w:numPr>
          <w:ilvl w:val="0"/>
          <w:numId w:val="1"/>
        </w:numPr>
        <w:spacing w:lineRule="auto" w:line="360"/>
        <w:jc w:val="both"/>
        <w:rPr>
          <w:rFonts w:ascii="Times New Roman" w:cs="Times New Roman" w:hAnsi="Times New Roman"/>
          <w:color w:val="000000"/>
          <w:sz w:val="28"/>
          <w:szCs w:val="28"/>
          <w:lang w:val="ru-RU"/>
        </w:rPr>
      </w:pP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Лебедев В. М. Уголовное право России. Часть Особенная: учебник. М. : </w:t>
      </w:r>
      <w:r>
        <w:rPr>
          <w:rFonts w:ascii="Times New Roman" w:cs="Times New Roman" w:hAnsi="Times New Roman"/>
          <w:color w:val="000000"/>
          <w:sz w:val="28"/>
          <w:szCs w:val="28"/>
          <w:lang w:val="ru-RU"/>
        </w:rPr>
        <w:t>Юрайт</w:t>
      </w:r>
      <w:r>
        <w:rPr>
          <w:rFonts w:ascii="Times New Roman" w:cs="Times New Roman" w:hAnsi="Times New Roman"/>
          <w:color w:val="000000"/>
          <w:sz w:val="28"/>
          <w:szCs w:val="28"/>
          <w:lang w:val="ru-RU"/>
        </w:rPr>
        <w:t xml:space="preserve">, 2024. </w:t>
      </w:r>
      <w:r>
        <w:rPr>
          <w:rFonts w:ascii="Times New Roman" w:cs="Times New Roman" w:hAnsi="Times New Roman"/>
          <w:color w:val="000000"/>
          <w:sz w:val="28"/>
          <w:szCs w:val="28"/>
          <w:lang w:val="ru-RU"/>
        </w:rPr>
        <w:t>640 с.</w:t>
      </w:r>
    </w:p>
    <w:p>
      <w:pPr>
        <w:pStyle w:val="style179"/>
        <w:numPr>
          <w:ilvl w:val="0"/>
          <w:numId w:val="1"/>
        </w:numPr>
        <w:spacing w:lineRule="auto" w:line="360"/>
        <w:jc w:val="both"/>
        <w:rPr>
          <w:rFonts w:ascii="Times New Roman" w:cs="Times New Roman" w:hAnsi="Times New Roman"/>
          <w:color w:val="000000"/>
          <w:sz w:val="28"/>
          <w:szCs w:val="28"/>
          <w:lang w:val="ru-RU"/>
        </w:rPr>
      </w:pP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Иванов А. А. Служебный подлог и его специальные разновидности в системе преступлений против государственной власти: </w:t>
      </w:r>
      <w:r>
        <w:rPr>
          <w:rFonts w:ascii="Times New Roman" w:cs="Times New Roman" w:hAnsi="Times New Roman"/>
          <w:color w:val="000000"/>
          <w:sz w:val="28"/>
          <w:szCs w:val="28"/>
          <w:lang w:val="ru-RU"/>
        </w:rPr>
        <w:t>дис</w:t>
      </w:r>
      <w:r>
        <w:rPr>
          <w:rFonts w:ascii="Times New Roman" w:cs="Times New Roman" w:hAnsi="Times New Roman"/>
          <w:color w:val="000000"/>
          <w:sz w:val="28"/>
          <w:szCs w:val="28"/>
          <w:lang w:val="ru-RU"/>
        </w:rPr>
        <w:t>. … канд. юрид. наук: 12.00.08. М., 2012. 180 с.</w:t>
      </w:r>
    </w:p>
    <w:p>
      <w:pPr>
        <w:pStyle w:val="style179"/>
        <w:ind w:left="425"/>
        <w:rPr>
          <w:rFonts w:ascii="Times New Roman" w:cs="Times New Roman" w:hAnsi="Times New Roman"/>
          <w:sz w:val="28"/>
          <w:szCs w:val="28"/>
        </w:rPr>
      </w:pPr>
    </w:p>
    <w:sectPr>
      <w:footnotePr>
        <w:numRestart w:val="eachPage"/>
      </w:footnote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variable"/>
    <w:sig w:usb0="E0002EFF" w:usb1="C000785B" w:usb2="00000009" w:usb3="00000000" w:csb0="000001FF" w:csb1="00000000"/>
  </w:font>
  <w:font w:name="Calibri">
    <w:altName w:val="Calibri"/>
    <w:panose1 w:val="020f0502020002030204"/>
    <w:charset w:val="cc"/>
    <w:family w:val="swiss"/>
    <w:pitch w:val="variable"/>
    <w:sig w:usb0="E4002EFF" w:usb1="C000ACFF" w:usb2="00000009" w:usb3="00000000" w:csb0="000001FF" w:csb1="00000000"/>
  </w:font>
  <w:font w:name="Arial">
    <w:altName w:val="Arial"/>
    <w:panose1 w:val="020b0604020002020204"/>
    <w:charset w:val="cc"/>
    <w:family w:val="swiss"/>
    <w:pitch w:val="variable"/>
    <w:sig w:usb0="E0002EFF" w:usb1="C000785B" w:usb2="00000009" w:usb3="00000000" w:csb0="000001FF" w:csb1="00000000"/>
  </w:font>
  <w:font w:name="Calibri Light">
    <w:altName w:val="Calibri Light"/>
    <w:panose1 w:val="020f0302020002030204"/>
    <w:charset w:val="cc"/>
    <w:family w:val="swiss"/>
    <w:pitch w:val="variable"/>
    <w:sig w:usb0="E4002EFF" w:usb1="C000247B" w:usb2="00000009" w:usb3="00000000" w:csb0="000001F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pPr>
      <w:r>
        <w:rPr>
          <w:rStyle w:val="style38"/>
        </w:rPr>
        <w:footnoteRef/>
      </w:r>
      <w:r>
        <w:t xml:space="preserve"> </w:t>
      </w:r>
      <w:r>
        <w:rPr>
          <w:rFonts w:ascii="Times New Roman" w:cs="Times New Roman" w:hAnsi="Times New Roman"/>
        </w:rPr>
        <w:t>Уголовный кодекс Российской Федерации от 13 июня 1996 г. № 63-ФЗ (ред. от 17.11.2025) // Собрание законодательства Российской Федерации. 1996. № 25. Ст. 2954; 2025. № 47. Ст. 7048</w:t>
      </w:r>
    </w:p>
  </w:footnote>
  <w:footnote w:id="2">
    <w:p>
      <w:pPr>
        <w:pStyle w:val="style29"/>
        <w:rPr/>
      </w:pPr>
      <w:r>
        <w:rPr>
          <w:rStyle w:val="style38"/>
        </w:rPr>
        <w:footnoteRef/>
      </w:r>
      <w:r>
        <w:t xml:space="preserve"> </w:t>
      </w:r>
      <w:r>
        <w:t xml:space="preserve">Уголовная ответственность за совершение служебного подлога // Официальный сайт прокуратуры. URL: https://munsolncevo.ru/procuratura/detail.php?ELEMENT_ID=5003 (дата обращения: 01.04.2026).  </w:t>
      </w:r>
    </w:p>
  </w:footnote>
  <w:footnote w:id="3">
    <w:p>
      <w:pPr>
        <w:pStyle w:val="style29"/>
        <w:jc w:val="both"/>
        <w:rPr/>
      </w:pPr>
      <w:r>
        <w:rPr>
          <w:rStyle w:val="style38"/>
        </w:rPr>
        <w:footnoteRef/>
      </w:r>
      <w:r>
        <w:rPr>
          <w:rFonts w:ascii="Times New Roman" w:cs="Times New Roman" w:hAnsi="Times New Roman"/>
        </w:rPr>
        <w:t xml:space="preserve">Приговор № 1-272/2025 от 28 августа 2025 г. по делу № 1-272/2025 </w:t>
      </w:r>
      <w:r>
        <w:rPr/>
        <w:fldChar w:fldCharType="begin"/>
      </w:r>
      <w:r>
        <w:instrText xml:space="preserve"> HYPERLINK "https://sudact.ru/regular/doc/6603CVGF5QN0/" </w:instrText>
      </w:r>
      <w:r>
        <w:rPr/>
        <w:fldChar w:fldCharType="separate"/>
      </w:r>
      <w:r>
        <w:rPr>
          <w:rStyle w:val="style85"/>
          <w:rFonts w:cs="Times New Roman"/>
        </w:rPr>
        <w:t>https://sudact.ru/regular/doc/6603CVGF5QN0/</w:t>
      </w:r>
      <w:r>
        <w:rPr/>
        <w:fldChar w:fldCharType="end"/>
      </w:r>
      <w:r>
        <w:rPr>
          <w:rFonts w:ascii="Times New Roman" w:cs="Times New Roman" w:hAnsi="Times New Roman"/>
        </w:rPr>
        <w:t xml:space="preserve"> </w:t>
      </w:r>
      <w:r>
        <w:t xml:space="preserve">(дата обращения: 01.04.2026).  </w:t>
      </w:r>
    </w:p>
  </w:footnote>
  <w:footnote w:id="4">
    <w:p>
      <w:pPr>
        <w:pStyle w:val="style29"/>
        <w:jc w:val="both"/>
        <w:rPr/>
      </w:pPr>
      <w:r>
        <w:rPr>
          <w:rStyle w:val="style38"/>
        </w:rPr>
        <w:footnoteRef/>
      </w:r>
      <w:r>
        <w:t xml:space="preserve"> </w:t>
      </w:r>
      <w:r>
        <w:rPr>
          <w:rFonts w:ascii="Times New Roman" w:cs="Times New Roman" w:hAnsi="Times New Roman"/>
        </w:rPr>
        <w:t xml:space="preserve">Приговор № 1-69/2025 от 27 августа 2025 г. по делу № 1-69/2025 </w:t>
      </w:r>
      <w:r>
        <w:rPr/>
        <w:fldChar w:fldCharType="begin"/>
      </w:r>
      <w:r>
        <w:instrText xml:space="preserve"> HYPERLINK "https://sudact.ru/regular/doc/1ycv73pQpFod/" </w:instrText>
      </w:r>
      <w:r>
        <w:rPr/>
        <w:fldChar w:fldCharType="separate"/>
      </w:r>
      <w:r>
        <w:rPr>
          <w:rStyle w:val="style85"/>
          <w:rFonts w:cs="Times New Roman"/>
        </w:rPr>
        <w:t>https://sudact.ru/regular/doc/1ycv73pQpFod/</w:t>
      </w:r>
      <w:r>
        <w:rPr/>
        <w:fldChar w:fldCharType="end"/>
      </w:r>
      <w:r>
        <w:t xml:space="preserve"> (дата обращения: 01.04.2026).  </w:t>
      </w:r>
    </w:p>
  </w:footnote>
  <w:footnote w:id="5">
    <w:p>
      <w:pPr>
        <w:pStyle w:val="style29"/>
        <w:snapToGrid w:val="false"/>
        <w:jc w:val="both"/>
        <w:rPr>
          <w:rFonts w:ascii="Times New Roman" w:cs="Times New Roman" w:hAnsi="Times New Roman"/>
        </w:rPr>
      </w:pPr>
      <w:r>
        <w:rPr>
          <w:rStyle w:val="style38"/>
        </w:rPr>
        <w:footnoteRef/>
      </w:r>
      <w:r>
        <w:rPr>
          <w:rFonts w:ascii="Times New Roman" w:cs="Times New Roman" w:hAnsi="Times New Roman"/>
        </w:rPr>
        <w:t>Приговор № 1-14/2025 от 24 августа 2025 г. по делу № 1-14/2025</w:t>
      </w:r>
      <w:r>
        <w:rPr>
          <w:rFonts w:ascii="Times New Roman" w:cs="Times New Roman" w:hAnsi="Times New Roman"/>
        </w:rPr>
        <w:t xml:space="preserve"> </w:t>
      </w:r>
      <w:r>
        <w:rPr/>
        <w:fldChar w:fldCharType="begin"/>
      </w:r>
      <w:r>
        <w:instrText xml:space="preserve"> HYPERLINK "https://sudact.ru/regular/doc/yRLCGvnUg5Qw/" </w:instrText>
      </w:r>
      <w:r>
        <w:rPr/>
        <w:fldChar w:fldCharType="separate"/>
      </w:r>
      <w:r>
        <w:rPr>
          <w:rStyle w:val="style85"/>
          <w:rFonts w:cs="Times New Roman"/>
          <w:lang w:val="en-US"/>
        </w:rPr>
        <w:t>https</w:t>
      </w:r>
      <w:r>
        <w:rPr>
          <w:rStyle w:val="style85"/>
          <w:rFonts w:cs="Times New Roman"/>
        </w:rPr>
        <w:t>://</w:t>
      </w:r>
      <w:r>
        <w:rPr>
          <w:rStyle w:val="style85"/>
          <w:rFonts w:cs="Times New Roman"/>
          <w:lang w:val="en-US"/>
        </w:rPr>
        <w:t>sudact</w:t>
      </w:r>
      <w:r>
        <w:rPr>
          <w:rStyle w:val="style85"/>
          <w:rFonts w:cs="Times New Roman"/>
        </w:rPr>
        <w:t>.</w:t>
      </w:r>
      <w:r>
        <w:rPr>
          <w:rStyle w:val="style85"/>
          <w:rFonts w:cs="Times New Roman"/>
          <w:lang w:val="en-US"/>
        </w:rPr>
        <w:t>ru</w:t>
      </w:r>
      <w:r>
        <w:rPr>
          <w:rStyle w:val="style85"/>
          <w:rFonts w:cs="Times New Roman"/>
        </w:rPr>
        <w:t>/</w:t>
      </w:r>
      <w:r>
        <w:rPr>
          <w:rStyle w:val="style85"/>
          <w:rFonts w:cs="Times New Roman"/>
          <w:lang w:val="en-US"/>
        </w:rPr>
        <w:t>regular</w:t>
      </w:r>
      <w:r>
        <w:rPr>
          <w:rStyle w:val="style85"/>
          <w:rFonts w:cs="Times New Roman"/>
        </w:rPr>
        <w:t>/</w:t>
      </w:r>
      <w:r>
        <w:rPr>
          <w:rStyle w:val="style85"/>
          <w:rFonts w:cs="Times New Roman"/>
          <w:lang w:val="en-US"/>
        </w:rPr>
        <w:t>doc</w:t>
      </w:r>
      <w:r>
        <w:rPr>
          <w:rStyle w:val="style85"/>
          <w:rFonts w:cs="Times New Roman"/>
        </w:rPr>
        <w:t>/</w:t>
      </w:r>
      <w:r>
        <w:rPr>
          <w:rStyle w:val="style85"/>
          <w:rFonts w:cs="Times New Roman"/>
          <w:lang w:val="en-US"/>
        </w:rPr>
        <w:t>yRLCGvnUg</w:t>
      </w:r>
      <w:r>
        <w:rPr>
          <w:rStyle w:val="style85"/>
          <w:rFonts w:cs="Times New Roman"/>
        </w:rPr>
        <w:t>5</w:t>
      </w:r>
      <w:r>
        <w:rPr>
          <w:rStyle w:val="style85"/>
          <w:rFonts w:cs="Times New Roman"/>
          <w:lang w:val="en-US"/>
        </w:rPr>
        <w:t>Qw</w:t>
      </w:r>
      <w:r>
        <w:rPr>
          <w:rStyle w:val="style85"/>
          <w:rFonts w:cs="Times New Roman"/>
        </w:rPr>
        <w:t>/</w:t>
      </w:r>
      <w:r>
        <w:rPr/>
        <w:fldChar w:fldCharType="end"/>
      </w:r>
      <w:r>
        <w:t>(дата обращения: 01.04.2026).</w:t>
      </w:r>
    </w:p>
  </w:footnote>
  <w:footnote w:id="6">
    <w:p>
      <w:pPr>
        <w:pStyle w:val="style29"/>
        <w:rPr/>
      </w:pPr>
      <w:r>
        <w:rPr>
          <w:rStyle w:val="style38"/>
        </w:rPr>
        <w:footnoteRef/>
      </w:r>
      <w:r>
        <w:t xml:space="preserve"> </w:t>
      </w:r>
      <w:r>
        <w:rPr>
          <w:rFonts w:ascii="Times New Roman" w:cs="Times New Roman" w:hAnsi="Times New Roman"/>
        </w:rPr>
        <w:t xml:space="preserve">Обзор количественных показателей преступности сотрудников органов внутренних дел России // </w:t>
      </w:r>
      <w:r>
        <w:rPr>
          <w:rFonts w:ascii="Times New Roman" w:cs="Times New Roman" w:hAnsi="Times New Roman"/>
        </w:rPr>
        <w:t>КиберЛенинка. URL: https://cyberleninka.ru (дата обращения: 26.02.2026).</w:t>
      </w:r>
    </w:p>
  </w:footnote>
  <w:footnote w:id="7">
    <w:p>
      <w:pPr>
        <w:pStyle w:val="style29"/>
        <w:rPr/>
      </w:pPr>
      <w:r>
        <w:rPr>
          <w:rStyle w:val="style38"/>
        </w:rPr>
        <w:footnoteRef/>
      </w:r>
      <w:r>
        <w:t xml:space="preserve"> </w:t>
      </w:r>
      <w:r>
        <w:rPr>
          <w:rFonts w:ascii="Times New Roman" w:cs="Times New Roman" w:hAnsi="Times New Roman"/>
        </w:rPr>
        <w:t>Генеральная прокуратура РФ. Данные о коррупционных преступлениях за 2023–2024 гг. // РБК. 2025. 16 июня.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C429EDA"/>
    <w:lvl w:ilvl="0">
      <w:start w:val="1"/>
      <w:numFmt w:val="decimal"/>
      <w:lvlText w:val="%1."/>
      <w:lvlJc w:val="left"/>
      <w:pPr>
        <w:tabs>
          <w:tab w:val="left" w:leader="none" w:pos="425"/>
        </w:tabs>
        <w:ind w:left="425" w:hanging="425"/>
      </w:pPr>
      <w:rPr>
        <w:rFonts w:hint="default"/>
        <w:b w:val="false"/>
        <w:bCs w:val="fals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111"/>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ru-RU"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120" w:lineRule="auto" w:line="276"/>
      <w:jc w:val="center"/>
      <w:outlineLvl w:val="0"/>
    </w:pPr>
    <w:rPr>
      <w:rFonts w:ascii="Times New Roman" w:cs="Calibri" w:eastAsia="Calibri" w:hAnsi="Times New Roman"/>
      <w:b/>
      <w:color w:val="000000"/>
      <w:kern w:val="0"/>
      <w:sz w:val="28"/>
      <w:szCs w:val="48"/>
      <w:lang w:eastAsia="ru-RU"/>
      <w14:ligatures xmlns:w14="http://schemas.microsoft.com/office/word/2010/wordml" w14:val="none"/>
    </w:rPr>
  </w:style>
  <w:style w:type="paragraph" w:styleId="style2">
    <w:name w:val="heading 2"/>
    <w:basedOn w:val="style0"/>
    <w:next w:val="style0"/>
    <w:link w:val="style4098"/>
    <w:qFormat/>
    <w:uiPriority w:val="9"/>
    <w:pPr>
      <w:keepNext/>
      <w:keepLines/>
      <w:spacing w:before="360" w:after="80" w:lineRule="auto" w:line="276"/>
      <w:jc w:val="center"/>
      <w:outlineLvl w:val="1"/>
    </w:pPr>
    <w:rPr>
      <w:rFonts w:ascii="Times New Roman" w:cs="Calibri" w:eastAsia="Calibri" w:hAnsi="Times New Roman"/>
      <w:b/>
      <w:color w:val="000000"/>
      <w:kern w:val="0"/>
      <w:sz w:val="28"/>
      <w:szCs w:val="36"/>
      <w:lang w:eastAsia="ru-RU"/>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1 Знак"/>
    <w:basedOn w:val="style65"/>
    <w:next w:val="style4097"/>
    <w:link w:val="style1"/>
    <w:uiPriority w:val="9"/>
    <w:rPr>
      <w:rFonts w:ascii="Times New Roman" w:cs="Calibri" w:eastAsia="Calibri" w:hAnsi="Times New Roman"/>
      <w:b/>
      <w:color w:val="000000"/>
      <w:kern w:val="0"/>
      <w:sz w:val="28"/>
      <w:szCs w:val="48"/>
      <w:lang w:eastAsia="ru-RU"/>
      <w14:ligatures xmlns:w14="http://schemas.microsoft.com/office/word/2010/wordml" w14:val="none"/>
    </w:rPr>
  </w:style>
  <w:style w:type="character" w:customStyle="1" w:styleId="style4098">
    <w:name w:val="Заголовок 2 Знак"/>
    <w:basedOn w:val="style65"/>
    <w:next w:val="style4098"/>
    <w:link w:val="style2"/>
    <w:uiPriority w:val="9"/>
    <w:rPr>
      <w:rFonts w:ascii="Times New Roman" w:cs="Calibri" w:eastAsia="Calibri" w:hAnsi="Times New Roman"/>
      <w:b/>
      <w:color w:val="000000"/>
      <w:kern w:val="0"/>
      <w:sz w:val="28"/>
      <w:szCs w:val="36"/>
      <w:lang w:eastAsia="ru-RU"/>
      <w14:ligatures xmlns:w14="http://schemas.microsoft.com/office/word/2010/wordml" w14:val="none"/>
    </w:rPr>
  </w:style>
  <w:style w:type="paragraph" w:styleId="style29">
    <w:name w:val="footnote text"/>
    <w:basedOn w:val="style0"/>
    <w:next w:val="style29"/>
    <w:link w:val="style4099"/>
    <w:qFormat/>
    <w:uiPriority w:val="99"/>
    <w:pPr>
      <w:spacing w:after="0" w:lineRule="auto" w:line="240"/>
    </w:pPr>
    <w:rPr>
      <w:sz w:val="20"/>
      <w:szCs w:val="20"/>
    </w:rPr>
  </w:style>
  <w:style w:type="character" w:customStyle="1" w:styleId="style4099">
    <w:name w:val="Текст сноски Знак"/>
    <w:basedOn w:val="style65"/>
    <w:next w:val="style4099"/>
    <w:link w:val="style29"/>
    <w:qFormat/>
    <w:uiPriority w:val="99"/>
    <w:rPr>
      <w:sz w:val="20"/>
      <w:szCs w:val="20"/>
    </w:rPr>
  </w:style>
  <w:style w:type="character" w:styleId="style38">
    <w:name w:val="footnote reference"/>
    <w:basedOn w:val="style65"/>
    <w:next w:val="style38"/>
    <w:qFormat/>
    <w:uiPriority w:val="99"/>
    <w:rPr>
      <w:vertAlign w:val="superscript"/>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spacing w:after="0" w:lineRule="auto" w:line="276"/>
      <w:ind w:left="720"/>
      <w:contextualSpacing/>
    </w:pPr>
    <w:rPr>
      <w:rFonts w:ascii="Arial" w:cs="Arial" w:eastAsia="Arial" w:hAnsi="Arial"/>
      <w:kern w:val="0"/>
      <w:lang w:eastAsia="ru-RU"/>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9057C-25B6-4701-B1AD-0B607C7E67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1741</Words>
  <Pages>1</Pages>
  <Characters>12327</Characters>
  <Application>WPS Office</Application>
  <DocSecurity>0</DocSecurity>
  <Paragraphs>66</Paragraphs>
  <ScaleCrop>false</ScaleCrop>
  <LinksUpToDate>false</LinksUpToDate>
  <CharactersWithSpaces>14038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2026-04-02T06:05:16Z</dcterms:created>
  <dc:creator>Юлия</dc:creator>
  <lastModifiedBy>AGS3K-L09</lastModifiedBy>
  <dcterms:modified xsi:type="dcterms:W3CDTF">2026-04-02T06:05:16Z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48de93c63d5b4808be2c97f36311591f</vt:lpwstr>
  </property>
</Properties>
</file>