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лгоритм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адаптивной дискрети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зации для построения разрядной кривой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br/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литий-ионных аккумуляторов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Лямин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Илья Сергеевич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Аспирант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кафедры высшей математики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Цыганов Андрей Владимирович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Научный руководитель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</w:t>
      </w:r>
      <w:r>
        <w:rPr>
          <w:rFonts w:ascii="Times New Roman" w:hAnsi="Times New Roman" w:cs="Times New Roman"/>
        </w:rPr>
        <w:t xml:space="preserve">доцент, к. ф.-</w:t>
      </w:r>
      <w:r>
        <w:rPr>
          <w:rFonts w:ascii="Times New Roman" w:hAnsi="Times New Roman" w:cs="Times New Roman"/>
        </w:rPr>
        <w:t xml:space="preserve">м.н</w:t>
      </w:r>
      <w:r>
        <w:rPr>
          <w:rFonts w:ascii="Times New Roman" w:hAnsi="Times New Roman" w:cs="Times New Roman"/>
        </w:rPr>
        <w:t xml:space="preserve">., профессор кафедры высшей математики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Факультет физико-математического и технологического образования </w:t>
      </w:r>
      <w:r>
        <w:rPr>
          <w:rFonts w:ascii="Times New Roman" w:hAnsi="Times New Roman" w:cs="Times New Roman"/>
        </w:rPr>
        <w:t xml:space="preserve">УлГПУ</w:t>
      </w:r>
      <w:r>
        <w:rPr>
          <w:rFonts w:ascii="Times New Roman" w:hAnsi="Times New Roman" w:cs="Times New Roman"/>
        </w:rPr>
        <w:t xml:space="preserve"> им. И.Н. Ульянова</w:t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Ключевые слова: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литий-ионный аккумулятор, состояние заряда, адаптивная дискретизация, кривизна функции,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эквидистрибуция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ошибки, численное моделирование.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В современн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ой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технике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литий-ионные аккумуляторы занимают доминирующее положение благодаря высок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им эксплуатационным характеристикам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[1].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Основой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безопасной и эффективной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их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эксплуатации является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обеспечение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мониторинг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балансировк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и прогнозировани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состояния элемента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[2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– 5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].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Одним из методов оценки состояния заряда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State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of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Charge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SoC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является применение математических моделей, поскольку данная величина не может быть измерена непосредственно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поэтому з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ависимость напряжения холостого хода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Open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Circuit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Voltage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OCV)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от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SoC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становится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ключевой для идентификации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параметров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математических моделей аккумуляторов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[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].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Э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кспериментальное получение зависимости OCV(SOC) требует длительных периодов релаксации для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стабилизации процессов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после приложения тока [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]. При равномерной дискретизаци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разрядной кривой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значительная часть измерений выполняется на линейных участках кривой, где высокая плотность точек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избыточна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тогда как на участках с выраженной нелинейностью разреженная сетка приводит к существенным ошибкам интерполяции [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].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данной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работе предлагается подход к оптимизации процесса измерения кривой OCV(SOC) на основе адаптивной дискретизации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с автоматическим определением шага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в зависимости от локальных свойств аппроксимируемой функции.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сновой метода служит принцип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эквидистрибуции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ошибки, согласно которому погрешность аппроксимации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в каждой точке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должна быть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одинакова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[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]. Из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него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следует, что шаг дискретизации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h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i</m:t>
            </m:r>
          </m:sub>
        </m:sSub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зависит от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значени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функции монитора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>
            <m:sty m:val="p"/>
          </m:rPr>
          <m:t>ρ</m:t>
        </m:r>
        <m:d>
          <m:d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dPr>
          <m:e>
            <m:r>
              <w:rPr>
                <w:rFonts w:ascii="Cambria Math" w:hAnsi="Cambria Math" w:eastAsia="Times New Roman" w:cs="Times New Roman"/>
                <w:color w:val="000000" w:themeColor="text1"/>
                <w:lang w:val="en-US" w:eastAsia="ru-RU"/>
                <w14:ligatures w14:val="none"/>
              </w:rPr>
              <m:rPr/>
              <m:t>x</m:t>
            </m:r>
          </m:e>
        </m:d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и целевой точности 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C</m:t>
        </m:r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pPr>
      <w:r/>
      <m:oMathPara>
        <m:oMathParaPr/>
        <m:oMath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val="en-US"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h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i</m:t>
              </m:r>
            </m:sub>
          </m:sSub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>
              <m:sty m:val="p"/>
            </m:rPr>
            <m:t>≈</m:t>
          </m:r>
          <m:f>
            <m:fPr>
              <m:ctrlP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C</m:t>
              </m:r>
            </m:num>
            <m:den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>
                  <m:sty m:val="p"/>
                </m:rPr>
                <m:t>ρ</m:t>
              </m:r>
              <m:d>
                <m:dPr>
                  <m:ctrlP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eastAsia="Times New Roman" w:cs="Times New Roman"/>
                          <w:i/>
                          <w:color w:val="000000" w:themeColor="text1"/>
                          <w:lang w:val="en-US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val="en-US" w:eastAsia="ru-RU"/>
                          <w14:ligatures w14:val="none"/>
                        </w:rPr>
                        <m:rPr/>
                        <m:t>x</m:t>
                      </m:r>
                    </m:e>
                    <m:sub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val="en-US" w:eastAsia="ru-RU"/>
                          <w14:ligatures w14:val="none"/>
                        </w:rPr>
                        <m:rPr/>
                        <m:t>i</m:t>
                      </m:r>
                    </m:sub>
                  </m:sSub>
                </m:e>
              </m:d>
            </m:den>
          </m:f>
          <m:r>
            <w:rPr>
              <w:rFonts w:hint="default" w:ascii="Cambria Math" w:hAnsi="Cambria Math" w:eastAsia="Cambria Math" w:cs="Cambria Math"/>
              <w:color w:val="000000" w:themeColor="text1"/>
              <w:lang w:val="en-US" w:eastAsia="ru-RU"/>
              <w14:ligatures w14:val="none"/>
            </w:rPr>
            <m:rPr/>
            <m:t>.</m:t>
          </m:r>
        </m:oMath>
      </m:oMathPara>
      <w:r>
        <w:rPr>
          <w:lang w:val="en-US"/>
        </w:rPr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Таким образом, в областях с высокой кривизной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(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>
            <m:sty m:val="p"/>
          </m:rPr>
          <m:t>ρ</m:t>
        </m:r>
        <m:d>
          <m:dPr>
            <m:ctrlP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</m:ctrlPr>
          </m:dPr>
          <m:e>
            <m:r>
              <w:rPr>
                <w:rFonts w:ascii="Cambria Math" w:hAnsi="Cambria Math" w:eastAsia="Times New Roman" w:cs="Times New Roman"/>
                <w:color w:val="000000" w:themeColor="text1"/>
                <w:lang w:val="en-US" w:eastAsia="ru-RU"/>
                <w14:ligatures w14:val="none"/>
              </w:rPr>
              <m:rPr/>
              <m:t>x</m:t>
            </m:r>
          </m:e>
        </m:d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велико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шаг уменьшается,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повышая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точность,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на линейных участках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–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увеличивается, сокращая количество измерений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[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3, 1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0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].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Были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разработаны и теоретически обоснованы четыре алгоритма адаптивной дискретизации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с различными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способ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ами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оценки локальной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кривизны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функции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ru-RU"/>
          <w14:ligatures w14:val="none"/>
        </w:rPr>
        <w:t xml:space="preserve">Алгоритм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ru-RU"/>
          <w14:ligatures w14:val="none"/>
        </w:rPr>
        <w:t xml:space="preserve"> 1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использует модуль второй производной напряжения по заряду в качестве функции монитора.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тор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ая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производн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ая вычисляется как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центральная разность второго порядка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где д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ля трех последовательных точек измерений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m:oMath>
        <m:d>
          <m:d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val="en-US" w:eastAsia="ru-RU"/>
                    <w14:ligatures w14:val="none"/>
                  </w:rPr>
                  <m:rPr/>
                  <m:t>Q</m:t>
                </m:r>
              </m:e>
              <m:sub>
                <m:r>
                  <w:rPr>
                    <w:rFonts w:ascii="Cambria Math" w:hAnsi="Cambria Math" w:eastAsia="Times New Roman" w:cs="Times New Roman"/>
                    <w:color w:val="000000" w:themeColor="text1"/>
                    <w:lang w:val="en-US" w:eastAsia="ru-RU"/>
                    <w14:ligatures w14:val="none"/>
                  </w:rPr>
                  <m:rPr/>
                  <m:t>i</m:t>
                </m:r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-1</m:t>
                </m:r>
              </m:sub>
            </m:s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,</m:t>
            </m:r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val="en-US" w:eastAsia="ru-RU"/>
                    <w14:ligatures w14:val="none"/>
                  </w:rPr>
                  <m:rPr/>
                  <m:t>V</m:t>
                </m:r>
              </m:e>
              <m:sub>
                <m:r>
                  <w:rPr>
                    <w:rFonts w:ascii="Cambria Math" w:hAnsi="Cambria Math" w:eastAsia="Times New Roman" w:cs="Times New Roman"/>
                    <w:color w:val="000000" w:themeColor="text1"/>
                    <w:lang w:val="en-US" w:eastAsia="ru-RU"/>
                    <w14:ligatures w14:val="none"/>
                  </w:rPr>
                  <m:rPr/>
                  <m:t>i</m:t>
                </m:r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-1</m:t>
                </m:r>
              </m:sub>
            </m:sSub>
          </m:e>
        </m:d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,</m:t>
        </m:r>
        <m:d>
          <m:d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Q</m:t>
                </m:r>
              </m:e>
              <m:sub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i</m:t>
                </m:r>
              </m:sub>
            </m:s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,</m:t>
            </m:r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V</m:t>
                </m:r>
              </m:e>
              <m:sub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i</m:t>
                </m:r>
              </m:sub>
            </m:sSub>
          </m:e>
        </m:d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,</m:t>
        </m:r>
        <m:d>
          <m:d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Q</m:t>
                </m:r>
              </m:e>
              <m:sub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i+1</m:t>
                </m:r>
              </m:sub>
            </m:s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,</m:t>
            </m:r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V</m:t>
                </m:r>
              </m:e>
              <m:sub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i+1</m:t>
                </m:r>
              </m:sub>
            </m:sSub>
          </m:e>
        </m:d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шаги между точками будут вычисляться как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/>
      <m:oMathPara>
        <m:oMathParaPr/>
        <m:oMath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h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1</m:t>
              </m:r>
            </m:sub>
          </m:sSub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=</m:t>
          </m:r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Q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i</m:t>
              </m:r>
            </m:sub>
          </m:sSub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-</m:t>
          </m:r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Q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i</m:t>
              </m:r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-1</m:t>
              </m:r>
            </m:sub>
          </m:sSub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,</m:t>
          </m:r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h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2</m:t>
              </m:r>
            </m:sub>
          </m:sSub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=</m:t>
          </m:r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Q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i+1</m:t>
              </m:r>
            </m:sub>
          </m:sSub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-</m:t>
          </m:r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Q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i</m:t>
              </m:r>
            </m:sub>
          </m:sSub>
          <m:r>
            <w:rPr>
              <w:rFonts w:hint="default" w:ascii="Cambria Math" w:hAnsi="Cambria Math" w:eastAsia="Cambria Math" w:cs="Cambria Math"/>
              <w:color w:val="000000" w:themeColor="text1"/>
              <w:lang w:val="en-US"/>
              <w14:ligatures w14:val="none"/>
            </w:rPr>
            <m:rPr>
              <m:sty m:val="i"/>
            </m:rPr>
            <m:t>.</m:t>
          </m:r>
        </m:oMath>
      </m:oMathPara>
      <w:r/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Тогда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вторая производная в точке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Q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i</m:t>
            </m:r>
          </m:sub>
        </m:sSub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может быть оценена как изменение первой производной, отнесенное к среднему шагу: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/>
      <m:oMathPara>
        <m:oMathParaPr/>
        <m:oMath>
          <m:f>
            <m:f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val="en-US" w:eastAsia="ru-RU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  <m:rPr/>
                    <m:t>d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2</m:t>
                  </m:r>
                </m:sup>
              </m:sSup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V</m:t>
              </m:r>
            </m:num>
            <m:den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  <m:rPr/>
                    <m:t>dQ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2</m:t>
                  </m:r>
                </m:sup>
              </m:sSup>
            </m:den>
          </m:f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>
              <m:sty m:val="p"/>
            </m:rPr>
            <m:t>=</m:t>
          </m:r>
          <m:f>
            <m:f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2</m:t>
              </m:r>
              <m:d>
                <m:d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val="en-US" w:eastAsia="ru-RU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eastAsia="Times New Roman" w:cs="Times New Roman"/>
                          <w:i/>
                          <w:color w:val="000000" w:themeColor="text1"/>
                          <w:lang w:val="en-US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val="en-US" w:eastAsia="ru-RU"/>
                          <w14:ligatures w14:val="none"/>
                        </w:rPr>
                        <m:rPr/>
                        <m:t>d</m:t>
                      </m:r>
                    </m:e>
                    <m:sub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eastAsia="ru-RU"/>
                          <w14:ligatures w14:val="none"/>
                        </w:rPr>
                        <m:rPr/>
                        <m:t>2</m:t>
                      </m:r>
                    </m:sub>
                  </m:s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-</m:t>
                  </m:r>
                  <m:sSub>
                    <m:sSubPr>
                      <m:ctrlPr>
                        <w:rPr>
                          <w:rFonts w:ascii="Cambria Math" w:hAnsi="Cambria Math" w:eastAsia="Times New Roman" w:cs="Times New Roman"/>
                          <w:i/>
                          <w:color w:val="000000" w:themeColor="text1"/>
                          <w:lang w:val="en-US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val="en-US" w:eastAsia="ru-RU"/>
                          <w14:ligatures w14:val="none"/>
                        </w:rPr>
                        <m:rPr/>
                        <m:t>d</m:t>
                      </m:r>
                    </m:e>
                    <m:sub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eastAsia="ru-RU"/>
                          <w14:ligatures w14:val="none"/>
                        </w:rPr>
                        <m:rPr/>
                        <m:t>1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  <m:rPr/>
                    <m:t>h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1</m:t>
                  </m:r>
                </m:sub>
              </m:s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+</m:t>
              </m:r>
              <m:sSub>
                <m:sSub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  <m:rPr/>
                    <m:t>h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2</m:t>
                  </m:r>
                </m:sub>
              </m:sSub>
            </m:den>
          </m:f>
          <m:r>
            <w:rPr>
              <w:rFonts w:hint="default" w:ascii="Cambria Math" w:hAnsi="Cambria Math" w:eastAsia="Cambria Math" w:cs="Cambria Math"/>
              <w:color w:val="000000" w:themeColor="text1"/>
              <w:lang w:val="en-US" w:eastAsia="ru-RU"/>
              <w14:ligatures w14:val="none"/>
            </w:rPr>
            <m:rPr>
              <m:sty m:val="i"/>
            </m:rPr>
            <m:t>.</m:t>
          </m:r>
        </m:oMath>
      </m:oMathPara>
      <w:r/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Для борьбы с усилением шума при численном дифференцировании применяется сглаживание вычисленных значений второй производной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K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s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val="en-US" w:eastAsia="ru-RU"/>
                <w14:ligatures w14:val="none"/>
              </w:rPr>
              <m:rPr/>
              <m:t>moot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h</m:t>
            </m:r>
          </m:sub>
        </m:sSub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которой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вычисляется шаг дискретизации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зависящий также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заданного значения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чувствительности 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S</m:t>
        </m:r>
      </m:oMath>
      <w:r>
        <w:rPr>
          <w:rFonts w:ascii="Times New Roman" w:hAnsi="Times New Roman" w:eastAsia="Times New Roman" w:cs="Times New Roman"/>
          <w:iCs/>
          <w:color w:val="000000" w:themeColor="text1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iCs/>
          <w:color w:val="000000" w:themeColor="text1"/>
          <w:lang w:eastAsia="ru-RU"/>
          <w14:ligatures w14:val="none"/>
        </w:rPr>
      </w:pPr>
      <w:r/>
      <m:oMathPara>
        <m:oMathParaPr/>
        <m:oMath>
          <m:r>
            <w:rPr>
              <w:rFonts w:ascii="Cambria Math" w:hAnsi="Cambria Math" w:eastAsia="Times New Roman" w:cs="Times New Roman"/>
              <w:color w:val="000000" w:themeColor="text1"/>
              <w:lang w:val="en-US" w:eastAsia="ru-RU"/>
              <w14:ligatures w14:val="none"/>
            </w:rPr>
            <m:rPr/>
            <m:t>h</m:t>
          </m:r>
          <m:r>
            <w:rPr>
              <w:rFonts w:ascii="Cambria Math" w:hAnsi="Cambria Math" w:eastAsia="Times New Roman" w:cs="Times New Roman"/>
              <w:color w:val="000000" w:themeColor="text1"/>
              <w:lang w:val="en-US" w:eastAsia="ru-RU"/>
              <w14:ligatures w14:val="none"/>
            </w:rPr>
            <m:rPr/>
            <m:t>=</m:t>
          </m:r>
          <m:f>
            <m:fPr>
              <m:ctrlP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S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</m:ctrlPr>
                </m:radPr>
                <m:deg>
                  <m:r>
                    <w:rPr>
                      <w:rFonts w:ascii="Cambria Math" w:hAnsi="Cambria Math" w:eastAsia="Cambria Math" w:cs="Cambria Math"/>
                    </w:rPr>
                    <m:rPr/>
                    <m:t/>
                  </m:r>
                </m:deg>
                <m:e>
                  <m:sSub>
                    <m:sSubPr>
                      <m:ctrlPr>
                        <w:rPr>
                          <w:rFonts w:ascii="Cambria Math" w:hAnsi="Cambria Math" w:eastAsia="Times New Roman" w:cs="Times New Roman"/>
                          <w:i/>
                          <w:color w:val="000000" w:themeColor="text1"/>
                          <w:lang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eastAsia="ru-RU"/>
                          <w14:ligatures w14:val="none"/>
                        </w:rPr>
                        <m:rPr/>
                        <m:t>K</m:t>
                      </m:r>
                    </m:e>
                    <m:sub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eastAsia="ru-RU"/>
                          <w14:ligatures w14:val="none"/>
                        </w:rPr>
                        <m:rPr/>
                        <m:t>s</m:t>
                      </m:r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val="en-US" w:eastAsia="ru-RU"/>
                          <w14:ligatures w14:val="none"/>
                        </w:rPr>
                        <m:rPr/>
                        <m:t>mooth</m:t>
                      </m:r>
                    </m:sub>
                  </m:sSub>
                </m:e>
              </m:rad>
            </m:den>
          </m:f>
          <m:r>
            <w:rPr>
              <w:rFonts w:hint="default" w:ascii="Cambria Math" w:hAnsi="Cambria Math" w:eastAsia="Cambria Math" w:cs="Cambria Math"/>
              <w:color w:val="000000" w:themeColor="text1"/>
              <w:lang w:val="en-US"/>
              <w14:ligatures w14:val="none"/>
            </w:rPr>
            <m:rPr/>
            <m:t>.</m:t>
          </m:r>
        </m:oMath>
      </m:oMathPara>
      <w:r/>
      <w:r>
        <w:rPr>
          <w:rFonts w:ascii="Times New Roman" w:hAnsi="Times New Roman" w:eastAsia="Times New Roman" w:cs="Times New Roman"/>
          <w:iCs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ru-RU"/>
          <w14:ligatures w14:val="none"/>
        </w:rPr>
        <w:t xml:space="preserve">Алгоритм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ru-RU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использует скользящее окно и метод наименьших квадратов для построения локальной линейной аппроксимации. Мера нелинейности определяется через изменение угла наклона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полученной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прямой между последовательными окнами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 w:themeColor="text1"/>
          <w:lang w:val="en-US" w:eastAsia="ru-RU"/>
          <w14:ligatures w14:val="none"/>
        </w:rPr>
      </w:pPr>
      <w:r/>
      <m:oMathPara>
        <m:oMathParaPr/>
        <m:oMath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Δθ</m:t>
          </m:r>
          <m:r>
            <w:rPr>
              <w:rFonts w:ascii="Cambria Math" w:hAnsi="Cambria Math" w:eastAsia="Times New Roman" w:cs="Times New Roman"/>
              <w:color w:val="000000" w:themeColor="text1"/>
              <w:lang w:val="en-US" w:eastAsia="ru-RU"/>
              <w14:ligatures w14:val="none"/>
            </w:rPr>
            <m:rPr/>
            <m:t>=</m:t>
          </m:r>
          <m:r>
            <w:rPr>
              <w:rFonts w:ascii="Cambria Math" w:hAnsi="Cambria Math" w:eastAsia="Times New Roman" w:cs="Times New Roman"/>
              <w:color w:val="000000" w:themeColor="text1"/>
              <w:lang w:val="en-US" w:eastAsia="ru-RU"/>
              <w14:ligatures w14:val="none"/>
            </w:rPr>
            <m:rPr>
              <m:sty m:val="p"/>
            </m:rPr>
            <m:t>arctan</m:t>
          </m:r>
          <m:d>
            <m:dPr>
              <m:ctrlP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  <m:rPr/>
                    <m:t>a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  <m:rPr/>
                    <m:t>i</m:t>
                  </m:r>
                </m:sub>
              </m:sSub>
            </m:e>
          </m:d>
          <m:r>
            <w:rPr>
              <w:rFonts w:ascii="Cambria Math" w:hAnsi="Cambria Math" w:eastAsia="Times New Roman" w:cs="Times New Roman"/>
              <w:color w:val="000000" w:themeColor="text1"/>
              <w:lang w:val="en-US" w:eastAsia="ru-RU"/>
              <w14:ligatures w14:val="none"/>
            </w:rPr>
            <m:rPr/>
            <m:t>-</m:t>
          </m:r>
          <m:r>
            <w:rPr>
              <w:rFonts w:ascii="Cambria Math" w:hAnsi="Cambria Math" w:eastAsia="Times New Roman" w:cs="Times New Roman"/>
              <w:color w:val="000000" w:themeColor="text1"/>
              <w:lang w:val="en-US" w:eastAsia="ru-RU"/>
              <w14:ligatures w14:val="none"/>
            </w:rPr>
            <m:rPr>
              <m:sty m:val="p"/>
            </m:rPr>
            <m:t>arctan</m:t>
          </m:r>
          <m:d>
            <m:dPr>
              <m:ctrlP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  <m:rPr/>
                    <m:t>a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  <m:rPr/>
                    <m:t>i-1</m:t>
                  </m:r>
                </m:sub>
              </m:sSub>
            </m:e>
          </m:d>
          <m:r>
            <w:rPr>
              <w:rFonts w:hint="default" w:ascii="Cambria Math" w:hAnsi="Cambria Math" w:eastAsia="Cambria Math" w:cs="Cambria Math"/>
              <w:color w:val="000000" w:themeColor="text1"/>
              <w:lang w:val="en-US" w:eastAsia="ru-RU"/>
              <w14:ligatures w14:val="none"/>
            </w:rPr>
            <m:rPr/>
            <m:t>.</m:t>
          </m:r>
        </m:oMath>
      </m:oMathPara>
      <w:r/>
      <w:r>
        <w:rPr>
          <w:rFonts w:ascii="Times New Roman" w:hAnsi="Times New Roman" w:eastAsia="Times New Roman" w:cs="Times New Roman"/>
          <w:i/>
          <w:color w:val="000000" w:themeColor="text1"/>
          <w:lang w:val="en-US"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Использование угла вместо коэффициента наклона обеспечивает численную устойчивость при высоких значениях производной, а усреднение в окне действует как фильтр.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Шаг дискретизации определяется на основе вычисленного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коэффициент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линейности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k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l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val="en-US" w:eastAsia="ru-RU"/>
                <w14:ligatures w14:val="none"/>
              </w:rPr>
              <m:rPr/>
              <m:t>in</m:t>
            </m:r>
          </m:sub>
        </m:sSub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 учетом порогового значения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Δθ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tr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val="en-US" w:eastAsia="ru-RU"/>
                <w14:ligatures w14:val="none"/>
              </w:rPr>
              <m:rPr/>
              <m:t>es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h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val="en-US" w:eastAsia="ru-RU"/>
                <w14:ligatures w14:val="none"/>
              </w:rPr>
              <m:rPr/>
              <m:t>old</m:t>
            </m:r>
          </m:sub>
        </m:sSub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/>
      <m:oMathPara>
        <m:oMathParaPr/>
        <m:oMath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k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l</m:t>
              </m:r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in</m:t>
              </m:r>
            </m:sub>
          </m:sSub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=</m:t>
          </m:r>
          <m:func>
            <m:func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funcPr>
            <m:fNam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max</m:t>
              </m:r>
            </m:fName>
            <m:e>
              <m:d>
                <m:dPr>
                  <m:ctrlP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0;</m:t>
                  </m:r>
                  <m:func>
                    <m:funcPr>
                      <m:ctrlPr>
                        <w:rPr>
                          <w:rFonts w:ascii="Cambria Math" w:hAnsi="Cambria Math" w:eastAsia="Times New Roman" w:cs="Times New Roman"/>
                          <w:i/>
                          <w:color w:val="000000" w:themeColor="text1"/>
                          <w:lang w:val="en-US" w:eastAsia="ru-RU"/>
                          <w14:ligatures w14:val="none"/>
                        </w:rPr>
                      </m:ctrlPr>
                    </m:funcPr>
                    <m:fName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val="en-US" w:eastAsia="ru-RU"/>
                          <w14:ligatures w14:val="none"/>
                        </w:rPr>
                        <m:rPr/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eastAsia="Times New Roman" w:cs="Times New Roman"/>
                              <w:i/>
                              <w:color w:val="000000" w:themeColor="text1"/>
                              <w:lang w:eastAsia="ru-RU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eastAsia="Times New Roman" w:cs="Times New Roman"/>
                              <w:color w:val="000000" w:themeColor="text1"/>
                              <w:lang w:eastAsia="ru-RU"/>
                              <w14:ligatures w14:val="none"/>
                            </w:rPr>
                            <m:rPr/>
                            <m:t>1;1-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eastAsia="Times New Roman" w:cs="Times New Roman"/>
                                  <w:color w:val="000000" w:themeColor="text1"/>
                                  <w:lang w:eastAsia="ru-RU"/>
                                  <w14:ligatures w14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eastAsia="Times New Roman" w:cs="Times New Roman"/>
                                  <w:color w:val="000000" w:themeColor="text1"/>
                                  <w:lang w:eastAsia="ru-RU"/>
                                  <w14:ligatures w14:val="none"/>
                                </w:rPr>
                                <m:rPr/>
                                <m:t>Δθ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eastAsia="Times New Roman" w:cs="Times New Roman"/>
                                      <w:i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/>
                                    <m:t>Δθ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/>
                                    <m:t>tr</m:t>
                                  </m:r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val="en-US" w:eastAsia="ru-RU"/>
                                      <w14:ligatures w14:val="none"/>
                                    </w:rPr>
                                    <m:rPr/>
                                    <m:t>es</m:t>
                                  </m:r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/>
                                    <m:t>h</m:t>
                                  </m:r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val="en-US" w:eastAsia="ru-RU"/>
                                      <w14:ligatures w14:val="none"/>
                                    </w:rPr>
                                    <m:rPr/>
                                    <m:t>old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</m:e>
              </m:d>
              <m:r>
                <w:rPr>
                  <w:rFonts w:hint="default" w:ascii="Cambria Math" w:hAnsi="Cambria Math" w:eastAsia="Cambria Math" w:cs="Cambria Math"/>
                  <w:color w:val="000000" w:themeColor="text1"/>
                  <w:lang w:val="en-US"/>
                  <w14:ligatures w14:val="none"/>
                </w:rPr>
                <m:rPr/>
                <m:t>.</m:t>
              </m:r>
            </m:e>
          </m:func>
        </m:oMath>
      </m:oMathPara>
      <w:r/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нему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определяется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шаг дискретизации таким образом, что при больших значениях шаг увеличивается, при меньших – уменьшается.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ru-RU"/>
          <w14:ligatures w14:val="none"/>
        </w:rPr>
        <w:t xml:space="preserve">Алгоритм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ru-RU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представляет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собой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геометрический подход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к решению задачи адаптивной дискретизации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в котором мерой нелинейности служит площадь треугольника, образованного тремя последовательными точками кривой.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При шаге дискретизации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h</m:t>
        </m:r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координаты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трех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точек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относительно средней точки 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x</m:t>
        </m:r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будут следующими: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P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1</m:t>
            </m:r>
          </m:sub>
        </m:sSub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:</m:t>
        </m:r>
        <m:d>
          <m:d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d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x-h,f</m:t>
            </m:r>
            <m:d>
              <m:d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d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x-h</m:t>
                </m:r>
              </m:e>
            </m:d>
          </m:e>
        </m:d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,</m:t>
        </m:r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P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2</m:t>
            </m:r>
          </m:sub>
        </m:sSub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:</m:t>
        </m:r>
        <m:d>
          <m:d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d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x,f</m:t>
            </m:r>
            <m:d>
              <m:d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d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x</m:t>
                </m:r>
              </m:e>
            </m:d>
          </m:e>
        </m:d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,</m:t>
        </m:r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P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3</m:t>
            </m:r>
          </m:sub>
        </m:sSub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:</m:t>
        </m:r>
        <m:d>
          <m:d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d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x+h,f</m:t>
            </m:r>
            <m:d>
              <m:d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d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x+h</m:t>
                </m:r>
              </m:e>
            </m:d>
          </m:e>
        </m:d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Подставляя данные координаты в формулу вычисления площади треугольника через определитель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получим: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/>
      <m:oMathPara>
        <m:oMathParaPr/>
        <m:oMath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A=</m:t>
          </m:r>
          <m:f>
            <m:fPr>
              <m:ctrlP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h</m:t>
              </m:r>
            </m:num>
            <m:den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f</m:t>
              </m:r>
              <m:d>
                <m:d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x+h</m:t>
                  </m:r>
                </m:e>
              </m:d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-f</m:t>
              </m:r>
              <m:d>
                <m:d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x-h</m:t>
                  </m:r>
                </m:e>
              </m:d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-2</m:t>
              </m:r>
              <m:d>
                <m:d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f</m:t>
                  </m:r>
                  <m:d>
                    <m:dPr>
                      <m:ctrlPr>
                        <w:rPr>
                          <w:rFonts w:ascii="Cambria Math" w:hAnsi="Cambria Math" w:eastAsia="Times New Roman" w:cs="Times New Roman"/>
                          <w:i/>
                          <w:color w:val="000000" w:themeColor="text1"/>
                          <w:lang w:eastAsia="ru-RU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eastAsia="ru-RU"/>
                          <w14:ligatures w14:val="none"/>
                        </w:rPr>
                        <m:rPr/>
                        <m:t>x</m:t>
                      </m:r>
                    </m:e>
                  </m:d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-f</m:t>
                  </m:r>
                  <m:d>
                    <m:dPr>
                      <m:ctrlPr>
                        <w:rPr>
                          <w:rFonts w:ascii="Cambria Math" w:hAnsi="Cambria Math" w:eastAsia="Times New Roman" w:cs="Times New Roman"/>
                          <w:i/>
                          <w:color w:val="000000" w:themeColor="text1"/>
                          <w:lang w:eastAsia="ru-RU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eastAsia="ru-RU"/>
                          <w14:ligatures w14:val="none"/>
                        </w:rPr>
                        <m:rPr/>
                        <m:t>x-h</m:t>
                      </m:r>
                    </m:e>
                  </m:d>
                </m:e>
              </m:d>
            </m:e>
          </m:d>
          <m:r>
            <w:rPr>
              <w:rFonts w:hint="default" w:ascii="Cambria Math" w:hAnsi="Cambria Math" w:eastAsia="Cambria Math" w:cs="Cambria Math"/>
              <w:color w:val="000000" w:themeColor="text1"/>
              <w:lang w:val="en-US"/>
              <w14:ligatures w14:val="none"/>
            </w:rPr>
            <m:rPr/>
            <m:t>.</m:t>
          </m:r>
        </m:oMath>
      </m:oMathPara>
      <w:r/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При разложении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функции в ряд Тейлора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можно увидеть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что при малом шаге 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h</m:t>
        </m:r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площадь треугольника асимптотически пропорциональна произведению второй производной и куба шага: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/>
      <m:oMathPara>
        <m:oMathParaPr/>
        <m:oMath>
          <m:r>
            <w:rPr>
              <w:rFonts w:ascii="Cambria Math" w:hAnsi="Cambria Math" w:eastAsia="Times New Roman" w:cs="Times New Roman"/>
              <w:color w:val="000000" w:themeColor="text1"/>
              <w:lang w:val="en-US" w:eastAsia="ru-RU"/>
              <w14:ligatures w14:val="none"/>
            </w:rPr>
            <m:rPr/>
            <m:t>A</m:t>
          </m:r>
          <m:r>
            <w:rPr>
              <w:rFonts w:ascii="Cambria Math" w:hAnsi="Cambria Math" w:eastAsia="Times New Roman" w:cs="Times New Roman"/>
              <w:color w:val="000000" w:themeColor="text1"/>
              <w:lang w:val="en-US" w:eastAsia="ru-RU"/>
              <w14:ligatures w14:val="none"/>
            </w:rPr>
            <m:rPr>
              <m:sty m:val="p"/>
            </m:rPr>
            <m:t>∝</m:t>
          </m:r>
          <m:f>
            <m:fPr>
              <m:ctrlP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1</m:t>
              </m:r>
            </m:num>
            <m:den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val="en-US" w:eastAsia="ru-RU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val="en-US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  <m:rPr/>
                    <m:t>f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  <m:rPr/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val="en-US"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val="en-US" w:eastAsia="ru-RU"/>
                      <w14:ligatures w14:val="none"/>
                    </w:rPr>
                    <m:rPr/>
                    <m:t>x</m:t>
                  </m:r>
                </m:e>
              </m:d>
            </m:e>
          </m:d>
          <m:sSup>
            <m:sSup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val="en-US" w:eastAsia="ru-RU"/>
                  <w14:ligatures w14:val="none"/>
                </w:rPr>
              </m:ctrlPr>
            </m:sSup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h</m:t>
              </m:r>
            </m:e>
            <m:sup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3</m:t>
              </m:r>
            </m:sup>
          </m:sSup>
          <m:r>
            <w:rPr>
              <w:rFonts w:hint="default" w:ascii="Cambria Math" w:hAnsi="Cambria Math" w:eastAsia="Cambria Math" w:cs="Cambria Math"/>
              <w:color w:val="000000" w:themeColor="text1"/>
              <w:lang w:val="en-US" w:eastAsia="ru-RU"/>
              <w14:ligatures w14:val="none"/>
            </w:rPr>
            <m:rPr>
              <m:sty m:val="i"/>
            </m:rPr>
            <m:t>.</m:t>
          </m:r>
        </m:oMath>
      </m:oMathPara>
      <w:r/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Для обеспечения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безразмерности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критерия и его инвариантности относительно масштабирования в алгоритме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применяется процедура нормировки геометрической меры через средний шаг 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d</m:t>
        </m:r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x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mean</m:t>
            </m:r>
          </m:sub>
        </m:sSub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который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можно аппроксимировать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величиной 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h</m:t>
        </m:r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/>
      <m:oMathPara>
        <m:oMathParaPr/>
        <m:oMath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A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norm</m:t>
              </m:r>
            </m:sub>
          </m:sSub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=</m:t>
          </m:r>
          <m:f>
            <m:fPr>
              <m:ctrlP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A</m:t>
              </m:r>
            </m:num>
            <m:den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d</m:t>
              </m:r>
              <m:sSubSup>
                <m:sSubSupPr>
                  <m:alnScr m:val="off"/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sSubSup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x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mean</m:t>
                  </m:r>
                </m:sub>
                <m:sup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2</m:t>
                  </m:r>
                </m:sup>
              </m:sSubSup>
            </m:den>
          </m:f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>
              <m:sty m:val="p"/>
            </m:rPr>
            <m:t>≈</m:t>
          </m:r>
          <m:f>
            <m:fPr>
              <m:ctrlP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</m:ctrlPr>
            </m:fPr>
            <m:num>
              <m:f>
                <m:fPr>
                  <m:ctrlP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1</m:t>
                  </m:r>
                </m:num>
                <m:den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2</m:t>
                  </m:r>
                </m:den>
              </m:f>
              <m:d>
                <m:dPr>
                  <m:begChr m:val="|"/>
                  <m:endChr m:val="|"/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eastAsia="Times New Roman" w:cs="Times New Roman"/>
                          <w:i/>
                          <w:color w:val="000000" w:themeColor="text1"/>
                          <w:lang w:eastAsia="ru-RU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eastAsia="ru-RU"/>
                          <w14:ligatures w14:val="none"/>
                        </w:rPr>
                        <m:rPr/>
                        <m:t>f</m:t>
                      </m:r>
                    </m:e>
                    <m:sup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eastAsia="ru-RU"/>
                          <w14:ligatures w14:val="none"/>
                        </w:rPr>
                        <m:rPr/>
                        <m:t>''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eastAsia="Times New Roman" w:cs="Times New Roman"/>
                          <w:i/>
                          <w:color w:val="000000" w:themeColor="text1"/>
                          <w:lang w:eastAsia="ru-RU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eastAsia="ru-RU"/>
                          <w14:ligatures w14:val="none"/>
                        </w:rPr>
                        <m:rPr/>
                        <m:t>x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h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h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2</m:t>
                  </m:r>
                </m:sup>
              </m:sSup>
            </m:den>
          </m:f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=</m:t>
          </m:r>
          <m:f>
            <m:fPr>
              <m:ctrlP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1</m:t>
              </m:r>
            </m:num>
            <m:den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f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x</m:t>
                  </m:r>
                </m:e>
              </m:d>
            </m:e>
          </m:d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h</m:t>
          </m:r>
          <m:r>
            <w:rPr>
              <w:rFonts w:ascii="Cambria Math" w:hAnsi="Cambria Math" w:eastAsia="Times New Roman" w:cs="Times New Roman"/>
              <w:color w:val="000000" w:themeColor="text1"/>
              <w:lang w:val="en-US"/>
              <w14:ligatures w14:val="none"/>
            </w:rPr>
            <m:rPr/>
            <m:t>.</m:t>
          </m:r>
        </m:oMath>
      </m:oMathPara>
      <w:r/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На основании этого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определяет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ся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коэффициент линейности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с учетом порогового значения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iCs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A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val="en-US" w:eastAsia="ru-RU"/>
                <w14:ligatures w14:val="none"/>
              </w:rPr>
              <m:rPr/>
              <m:t>tres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h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val="en-US" w:eastAsia="ru-RU"/>
                <w14:ligatures w14:val="none"/>
              </w:rPr>
              <m:rPr/>
              <m:t>old</m:t>
            </m:r>
          </m:sub>
        </m:sSub>
      </m:oMath>
      <w:r/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 w:themeColor="text1"/>
          <w:lang w:val="en-US" w:eastAsia="ru-RU"/>
          <w14:ligatures w14:val="none"/>
        </w:rPr>
      </w:pPr>
      <w:r/>
      <m:oMathPara>
        <m:oMathParaPr/>
        <m:oMath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k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l</m:t>
              </m:r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in</m:t>
              </m:r>
            </m:sub>
          </m:sSub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=</m:t>
          </m:r>
          <m:func>
            <m:func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funcPr>
            <m:fNam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max</m:t>
              </m:r>
            </m:fName>
            <m:e>
              <m:d>
                <m:dPr>
                  <m:ctrlP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0;</m:t>
                  </m:r>
                  <m:func>
                    <m:funcPr>
                      <m:ctrlPr>
                        <w:rPr>
                          <w:rFonts w:ascii="Cambria Math" w:hAnsi="Cambria Math" w:eastAsia="Times New Roman" w:cs="Times New Roman"/>
                          <w:i/>
                          <w:color w:val="000000" w:themeColor="text1"/>
                          <w:lang w:val="en-US" w:eastAsia="ru-RU"/>
                          <w14:ligatures w14:val="none"/>
                        </w:rPr>
                      </m:ctrlPr>
                    </m:funcPr>
                    <m:fName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val="en-US" w:eastAsia="ru-RU"/>
                          <w14:ligatures w14:val="none"/>
                        </w:rPr>
                        <m:rPr/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eastAsia="Times New Roman" w:cs="Times New Roman"/>
                              <w:i/>
                              <w:color w:val="000000" w:themeColor="text1"/>
                              <w:lang w:eastAsia="ru-RU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eastAsia="Times New Roman" w:cs="Times New Roman"/>
                              <w:color w:val="000000" w:themeColor="text1"/>
                              <w:lang w:eastAsia="ru-RU"/>
                              <w14:ligatures w14:val="none"/>
                            </w:rPr>
                            <m:rPr/>
                            <m:t>1;1-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eastAsia="Times New Roman" w:cs="Times New Roman"/>
                                  <w:color w:val="000000" w:themeColor="text1"/>
                                  <w:lang w:eastAsia="ru-RU"/>
                                  <w14:ligatures w14:val="none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eastAsia="Times New Roman" w:cs="Times New Roman"/>
                                      <w:i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/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/>
                                    <m:t>no</m:t>
                                  </m:r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val="en-US" w:eastAsia="ru-RU"/>
                                      <w14:ligatures w14:val="none"/>
                                    </w:rPr>
                                    <m:rPr/>
                                    <m:t>rm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eastAsia="Times New Roman" w:cs="Times New Roman"/>
                                      <w:i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/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/>
                                    <m:t>tr</m:t>
                                  </m:r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val="en-US" w:eastAsia="ru-RU"/>
                                      <w14:ligatures w14:val="none"/>
                                    </w:rPr>
                                    <m:rPr/>
                                    <m:t>es</m:t>
                                  </m:r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/>
                                    <m:t>h</m:t>
                                  </m:r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val="en-US" w:eastAsia="ru-RU"/>
                                      <w14:ligatures w14:val="none"/>
                                    </w:rPr>
                                    <m:rPr/>
                                    <m:t>old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</m:e>
              </m:d>
              <m:r>
                <w:rPr>
                  <w:rFonts w:hint="default" w:ascii="Cambria Math" w:hAnsi="Cambria Math" w:eastAsia="Cambria Math" w:cs="Cambria Math"/>
                  <w:color w:val="000000" w:themeColor="text1"/>
                  <w:lang w:val="en-US"/>
                  <w14:ligatures w14:val="none"/>
                </w:rPr>
                <m:rPr/>
                <m:t>.</m:t>
              </m:r>
            </m:e>
          </m:func>
        </m:oMath>
      </m:oMathPara>
      <w:r/>
      <w:r>
        <w:rPr>
          <w:rFonts w:ascii="Times New Roman" w:hAnsi="Times New Roman" w:eastAsia="Times New Roman" w:cs="Times New Roman"/>
          <w:i/>
          <w:color w:val="000000" w:themeColor="text1"/>
          <w:lang w:val="en-US" w:eastAsia="ru-RU"/>
          <w14:ligatures w14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lang w:eastAsia="ru-RU"/>
          <w14:ligatures w14:val="none"/>
        </w:rPr>
        <w:t xml:space="preserve">Определение шага происходит аналогично алгоритму </w:t>
      </w:r>
      <w:r>
        <w:rPr>
          <w:rFonts w:ascii="Times New Roman" w:hAnsi="Times New Roman" w:eastAsia="Times New Roman" w:cs="Times New Roman"/>
          <w:iCs/>
          <w:color w:val="000000" w:themeColor="text1"/>
          <w:lang w:eastAsia="ru-RU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iCs/>
          <w:color w:val="000000" w:themeColor="text1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ru-RU"/>
          <w14:ligatures w14:val="none"/>
        </w:rPr>
        <w:t xml:space="preserve">Алгоритм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ru-RU"/>
          <w14:ligatures w14:val="non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использует дисперсию совокупности углов в скользящем окне, что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служит мерой скорости изменения направления кривой, что эквивалентно оценке локальной кривизны в дискретной дифференциальной геометрии [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].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Данный подход не требует предположений о форме функции и демонстрирует высокую робастность к случайным флуктуациям измерений.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Угол наклона отрезка, соединяющего точки </w:t>
      </w:r>
      <m:oMath>
        <m:d>
          <m:d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x</m:t>
                </m:r>
              </m:e>
              <m:sub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i-1</m:t>
                </m:r>
              </m:sub>
            </m:s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,</m:t>
            </m:r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y</m:t>
                </m:r>
              </m:e>
              <m:sub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i-1</m:t>
                </m:r>
              </m:sub>
            </m:sSub>
          </m:e>
        </m:d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 </m:t>
        </m:r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и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/>
          <m:t> </m:t>
        </m:r>
        <m:d>
          <m:d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x</m:t>
                </m:r>
              </m:e>
              <m:sub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i</m:t>
                </m:r>
              </m:sub>
            </m:s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,</m:t>
            </m:r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color w:val="000000" w:themeColor="text1"/>
                    <w:lang w:eastAsia="ru-RU"/>
                    <w14:ligatures w14:val="none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y</m:t>
                </m:r>
              </m:e>
              <m:sub>
                <m:r>
                  <w:rPr>
                    <w:rFonts w:ascii="Cambria Math" w:hAnsi="Cambria Math" w:eastAsia="Times New Roman" w:cs="Times New Roman"/>
                    <w:color w:val="000000" w:themeColor="text1"/>
                    <w:lang w:eastAsia="ru-RU"/>
                    <w14:ligatures w14:val="none"/>
                  </w:rPr>
                  <m:rPr/>
                  <m:t>i</m:t>
                </m:r>
              </m:sub>
            </m:sSub>
          </m:e>
        </m:d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вычисляется как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/>
      <m:oMathPara>
        <m:oMathParaPr/>
        <m:oMath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θ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i</m:t>
              </m:r>
            </m:sub>
          </m:sSub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=</m:t>
          </m:r>
          <m:func>
            <m:funcPr>
              <m:ctrlP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</m:ctrlPr>
            </m:funcPr>
            <m:fNam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>
                  <m:sty m:val="p"/>
                </m:rPr>
                <m:t>arctan</m:t>
              </m:r>
            </m:fName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2</m:t>
              </m:r>
            </m:e>
          </m:func>
          <m:d>
            <m:d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>
                  <m:sty m:val="p"/>
                </m:rPr>
                <m:t>Δ</m:t>
              </m:r>
              <m:sSub>
                <m:sSub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y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i</m:t>
                  </m:r>
                </m:sub>
              </m:s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,</m:t>
              </m:r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>
                  <m:sty m:val="p"/>
                </m:rPr>
                <m:t>Δ</m:t>
              </m:r>
              <m:sSub>
                <m:sSub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x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i</m:t>
                  </m:r>
                </m:sub>
              </m:sSub>
            </m:e>
          </m:d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=</m:t>
          </m:r>
          <m:func>
            <m:funcPr>
              <m:ctrlP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</m:ctrlPr>
            </m:funcPr>
            <m:fNam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>
                  <m:sty m:val="p"/>
                </m:rPr>
                <m:t>arctan</m:t>
              </m:r>
            </m:fName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2</m:t>
              </m:r>
            </m:e>
          </m:func>
          <m:d>
            <m:d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y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i</m:t>
                  </m:r>
                </m:sub>
              </m:s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-</m:t>
              </m:r>
              <m:sSub>
                <m:sSub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y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i-1</m:t>
                  </m:r>
                </m:sub>
              </m:s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,</m:t>
              </m:r>
              <m:sSub>
                <m:sSub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x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i</m:t>
                  </m:r>
                </m:sub>
              </m:s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-</m:t>
              </m:r>
              <m:sSub>
                <m:sSubPr>
                  <m:ctrlPr>
                    <w:rPr>
                      <w:rFonts w:ascii="Cambria Math" w:hAnsi="Cambria Math" w:eastAsia="Times New Roman" w:cs="Times New Roman"/>
                      <w:i/>
                      <w:color w:val="000000" w:themeColor="text1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x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i-1</m:t>
                  </m:r>
                </m:sub>
              </m:sSub>
            </m:e>
          </m:d>
          <m:r>
            <w:rPr>
              <w:rFonts w:hint="default" w:ascii="Cambria Math" w:hAnsi="Cambria Math" w:eastAsia="Cambria Math" w:cs="Cambria Math"/>
              <w:color w:val="000000" w:themeColor="text1"/>
              <w:lang w:val="en-US"/>
              <w14:ligatures w14:val="none"/>
            </w:rPr>
            <m:rPr>
              <m:sty m:val="i"/>
            </m:rPr>
            <m:t>.</m:t>
          </m:r>
        </m:oMath>
      </m:oMathPara>
      <w:r/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Величина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θ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i</m:t>
            </m:r>
          </m:sub>
        </m:sSub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является дискретной оценкой тангенса угла наклона касательной к кривой в некоторой точке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x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i</m:t>
            </m:r>
          </m:sub>
        </m:sSub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а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последовательность углов 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>
            <m:lit m:val="on"/>
          </m:rPr>
          <m:t>{</m:t>
        </m:r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>
                <m:sty m:val="p"/>
              </m:rPr>
              <m:t>θ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i</m:t>
            </m:r>
          </m:sub>
        </m:sSub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>
            <m:lit m:val="on"/>
          </m:rPr>
          <m:t>}</m:t>
        </m:r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является дискретным представлением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его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функции,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то есть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первой производной.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Следовательно,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разница между углами наклона соседних отрезков является дискретной ап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роксимацией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производной угла наклона,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что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эквивалентн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второй производной.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Расчет шага производится аналогично алгоритмам 2 и 3, а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k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l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val="en-US" w:eastAsia="ru-RU"/>
                <w14:ligatures w14:val="none"/>
              </w:rPr>
              <m:rPr/>
              <m:t>in</m:t>
            </m:r>
          </m:sub>
        </m:sSub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зависит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от дисперсии углов </w:t>
      </w:r>
      <m:oMath>
        <m:sSubSup>
          <m:sSubSupPr>
            <m:alnScr m:val="off"/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Sup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>
                <m:sty m:val="p"/>
              </m:rPr>
              <m:t>σ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>
                <m:sty m:val="p"/>
              </m:rPr>
              <m:t>θ</m:t>
            </m:r>
          </m:sub>
          <m:sup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2</m:t>
            </m:r>
          </m:sup>
        </m:sSubSup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и порог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m:oMath>
        <m:r>
          <w:rPr>
            <w:rFonts w:ascii="Cambria Math" w:hAnsi="Cambria Math" w:eastAsia="Times New Roman" w:cs="Times New Roman"/>
            <w:color w:val="000000" w:themeColor="text1"/>
            <w:lang w:eastAsia="ru-RU"/>
            <w14:ligatures w14:val="none"/>
          </w:rPr>
          <m:rPr>
            <m:sty m:val="p"/>
          </m:rPr>
          <m:t>Δ</m:t>
        </m:r>
        <m:sSub>
          <m:sSubPr>
            <m:ctrlPr>
              <w:rPr>
                <w:rFonts w:ascii="Cambria Math" w:hAnsi="Cambria Math" w:eastAsia="Times New Roman" w:cs="Times New Roman"/>
                <w:i/>
                <w:color w:val="000000" w:themeColor="text1"/>
                <w:lang w:eastAsia="ru-RU"/>
                <w14:ligatures w14:val="none"/>
              </w:rPr>
            </m:ctrlPr>
          </m:sSubPr>
          <m:e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θ</m:t>
            </m:r>
          </m:e>
          <m:sub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tr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val="en-US" w:eastAsia="ru-RU"/>
                <w14:ligatures w14:val="none"/>
              </w:rPr>
              <m:rPr/>
              <m:t>es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eastAsia="ru-RU"/>
                <w14:ligatures w14:val="none"/>
              </w:rPr>
              <m:rPr/>
              <m:t>h</m:t>
            </m:r>
            <m:r>
              <w:rPr>
                <w:rFonts w:ascii="Cambria Math" w:hAnsi="Cambria Math" w:eastAsia="Times New Roman" w:cs="Times New Roman"/>
                <w:color w:val="000000" w:themeColor="text1"/>
                <w:lang w:val="en-US" w:eastAsia="ru-RU"/>
                <w14:ligatures w14:val="none"/>
              </w:rPr>
              <m:rPr/>
              <m:t>old</m:t>
            </m:r>
          </m:sub>
        </m:sSub>
      </m:oMath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i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/>
      <m:oMathPara>
        <m:oMathParaPr/>
        <m:oMath>
          <m:sSub>
            <m:sSub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k</m:t>
              </m:r>
            </m:e>
            <m:sub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l</m:t>
              </m:r>
              <m:r>
                <w:rPr>
                  <w:rFonts w:ascii="Cambria Math" w:hAnsi="Cambria Math" w:eastAsia="Times New Roman" w:cs="Times New Roman"/>
                  <w:color w:val="000000" w:themeColor="text1"/>
                  <w:lang w:val="en-US" w:eastAsia="ru-RU"/>
                  <w14:ligatures w14:val="none"/>
                </w:rPr>
                <m:rPr/>
                <m:t>in</m:t>
              </m:r>
            </m:sub>
          </m:sSub>
          <m:r>
            <w:rPr>
              <w:rFonts w:ascii="Cambria Math" w:hAnsi="Cambria Math" w:eastAsia="Times New Roman" w:cs="Times New Roman"/>
              <w:color w:val="000000" w:themeColor="text1"/>
              <w:lang w:eastAsia="ru-RU"/>
              <w14:ligatures w14:val="none"/>
            </w:rPr>
            <m:rPr/>
            <m:t>=</m:t>
          </m:r>
          <m:func>
            <m:funcPr>
              <m:ctrlPr>
                <w:rPr>
                  <w:rFonts w:ascii="Cambria Math" w:hAnsi="Cambria Math" w:eastAsia="Times New Roman" w:cs="Times New Roman"/>
                  <w:i/>
                  <w:color w:val="000000" w:themeColor="text1"/>
                  <w:lang w:eastAsia="ru-RU"/>
                  <w14:ligatures w14:val="none"/>
                </w:rPr>
              </m:ctrlPr>
            </m:funcPr>
            <m:fName>
              <m:r>
                <w:rPr>
                  <w:rFonts w:ascii="Cambria Math" w:hAnsi="Cambria Math" w:eastAsia="Times New Roman" w:cs="Times New Roman"/>
                  <w:color w:val="000000" w:themeColor="text1"/>
                  <w:lang w:eastAsia="ru-RU"/>
                  <w14:ligatures w14:val="none"/>
                </w:rPr>
                <m:rPr/>
                <m:t>max</m:t>
              </m:r>
            </m:fName>
            <m:e>
              <m:d>
                <m:dPr>
                  <m:ctrlP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hAnsi="Cambria Math" w:eastAsia="Times New Roman" w:cs="Times New Roman"/>
                      <w:color w:val="000000" w:themeColor="text1"/>
                      <w:lang w:eastAsia="ru-RU"/>
                      <w14:ligatures w14:val="none"/>
                    </w:rPr>
                    <m:rPr/>
                    <m:t>0;</m:t>
                  </m:r>
                  <m:func>
                    <m:funcPr>
                      <m:ctrlPr>
                        <w:rPr>
                          <w:rFonts w:ascii="Cambria Math" w:hAnsi="Cambria Math" w:eastAsia="Times New Roman" w:cs="Times New Roman"/>
                          <w:i/>
                          <w:color w:val="000000" w:themeColor="text1"/>
                          <w:lang w:val="en-US" w:eastAsia="ru-RU"/>
                          <w14:ligatures w14:val="none"/>
                        </w:rPr>
                      </m:ctrlPr>
                    </m:funcPr>
                    <m:fName>
                      <m:r>
                        <w:rPr>
                          <w:rFonts w:ascii="Cambria Math" w:hAnsi="Cambria Math" w:eastAsia="Times New Roman" w:cs="Times New Roman"/>
                          <w:color w:val="000000" w:themeColor="text1"/>
                          <w:lang w:val="en-US" w:eastAsia="ru-RU"/>
                          <w14:ligatures w14:val="none"/>
                        </w:rPr>
                        <m:rPr/>
                        <m:t>min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eastAsia="Times New Roman" w:cs="Times New Roman"/>
                              <w:color w:val="000000" w:themeColor="text1"/>
                              <w:lang w:eastAsia="ru-RU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eastAsia="Times New Roman" w:cs="Times New Roman"/>
                              <w:color w:val="000000" w:themeColor="text1"/>
                              <w:lang w:eastAsia="ru-RU"/>
                              <w14:ligatures w14:val="none"/>
                            </w:rPr>
                            <m:rPr/>
                            <m:t>1;1-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eastAsia="Times New Roman" w:cs="Times New Roman"/>
                                  <w:color w:val="000000" w:themeColor="text1"/>
                                  <w:lang w:eastAsia="ru-RU"/>
                                  <w14:ligatures w14:val="none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alnScr m:val="off"/>
                                  <m:ctrlPr>
                                    <w:rPr>
                                      <w:rFonts w:ascii="Cambria Math" w:hAnsi="Cambria Math" w:eastAsia="Times New Roman" w:cs="Times New Roman"/>
                                      <w:i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>
                                      <m:sty m:val="p"/>
                                    </m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>
                                      <m:sty m:val="p"/>
                                    </m:rPr>
                                    <m:t>θ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val="en-US" w:eastAsia="ru-RU"/>
                                      <w14:ligatures w14:val="none"/>
                                    </w:rPr>
                                    <m:rPr/>
                                    <m:t>2</m:t>
                                  </m:r>
                                </m:sup>
                              </m:sSubSup>
                            </m:num>
                            <m:den>
                              <m:r>
                                <w:rPr>
                                  <w:rFonts w:ascii="Cambria Math" w:hAnsi="Cambria Math" w:eastAsia="Times New Roman" w:cs="Times New Roman"/>
                                  <w:color w:val="000000" w:themeColor="text1"/>
                                  <w:lang w:eastAsia="ru-RU"/>
                                  <w14:ligatures w14:val="none"/>
                                </w:rPr>
                                <m:rPr>
                                  <m:sty m:val="p"/>
                                </m:rPr>
                                <m:t>Δ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eastAsia="Times New Roman" w:cs="Times New Roman"/>
                                      <w:i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/>
                                    <m:t>θ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/>
                                    <m:t>tr</m:t>
                                  </m:r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val="en-US" w:eastAsia="ru-RU"/>
                                      <w14:ligatures w14:val="none"/>
                                    </w:rPr>
                                    <m:rPr/>
                                    <m:t>es</m:t>
                                  </m:r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eastAsia="ru-RU"/>
                                      <w14:ligatures w14:val="none"/>
                                    </w:rPr>
                                    <m:rPr/>
                                    <m:t>h</m:t>
                                  </m:r>
                                  <m:r>
                                    <w:rPr>
                                      <w:rFonts w:ascii="Cambria Math" w:hAnsi="Cambria Math" w:eastAsia="Times New Roman" w:cs="Times New Roman"/>
                                      <w:color w:val="000000" w:themeColor="text1"/>
                                      <w:lang w:val="en-US" w:eastAsia="ru-RU"/>
                                      <w14:ligatures w14:val="none"/>
                                    </w:rPr>
                                    <m:rPr/>
                                    <m:t>old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</m:e>
              </m:d>
              <m:r>
                <w:rPr>
                  <w:rFonts w:hint="default" w:ascii="Cambria Math" w:hAnsi="Cambria Math" w:eastAsia="Cambria Math" w:cs="Cambria Math"/>
                  <w:color w:val="000000" w:themeColor="text1"/>
                  <w:lang w:val="en-US"/>
                  <w14:ligatures w14:val="none"/>
                </w:rPr>
                <m:rPr/>
                <m:t>.</m:t>
              </m:r>
            </m:e>
          </m:func>
        </m:oMath>
      </m:oMathPara>
      <w:r/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lang w:eastAsia="ru-RU"/>
          <w14:ligatures w14:val="none"/>
        </w:rPr>
        <w:t xml:space="preserve">Численное моделирование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выполнено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по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математической модели литий-ионного аккумулятора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полученной на основе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схем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ы замещения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Тевенена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второго порядка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Параметры модели: номинальная ёмкость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аккумулятора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3,0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А·ч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 ток разряда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0,5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А, время релаксации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600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с. Для сравнения реализованы стратегии: равномерн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ые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сетк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с шагом 2% и 10%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SOC, а также четыре адаптивных алгоритма.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Для сравнения данных был выполнен подбор параметров алгоритмов для достижения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значени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RMSE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близкого к полученному на равномерной сетке измерений с шагом 2% (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RMSE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=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1,2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мВ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Результаты моделирования представлены в таблице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lang w:val="ru-RU"/>
          <w14:ligatures w14:val="none"/>
        </w:rPr>
        <w:t xml:space="preserve"> Сравнение производилось по следующим критериям: количество шагов, общее время эксперимента, средняя абсолютная ошибка (</w:t>
      </w:r>
      <w:r>
        <w:rPr>
          <w:rFonts w:ascii="Times New Roman" w:hAnsi="Times New Roman" w:eastAsia="Times New Roman" w:cs="Times New Roman"/>
          <w:color w:val="000000" w:themeColor="text1"/>
          <w:lang w:val="en-US"/>
          <w14:ligatures w14:val="none"/>
        </w:rPr>
        <w:t xml:space="preserve">MAE), </w:t>
      </w:r>
      <w:r>
        <w:rPr>
          <w:rFonts w:ascii="Times New Roman" w:hAnsi="Times New Roman" w:eastAsia="Times New Roman" w:cs="Times New Roman"/>
          <w:color w:val="000000" w:themeColor="text1"/>
          <w:lang w:val="ru-RU"/>
          <w14:ligatures w14:val="none"/>
        </w:rPr>
        <w:t xml:space="preserve">среднеквадратичная ошибка</w:t>
      </w:r>
      <w:r>
        <w:rPr>
          <w:rFonts w:ascii="Times New Roman" w:hAnsi="Times New Roman" w:eastAsia="Times New Roman" w:cs="Times New Roman"/>
          <w:color w:val="000000" w:themeColor="text1"/>
          <w:lang w:val="en-US"/>
          <w14:ligatures w14:val="none"/>
        </w:rPr>
        <w:t xml:space="preserve"> (RMSE),</w:t>
      </w:r>
      <w:r>
        <w:rPr>
          <w:rFonts w:ascii="Times New Roman" w:hAnsi="Times New Roman" w:eastAsia="Times New Roman" w:cs="Times New Roman"/>
          <w:color w:val="000000" w:themeColor="text1"/>
          <w:lang w:val="ru-RU"/>
          <w14:ligatures w14:val="none"/>
        </w:rPr>
        <w:t xml:space="preserve"> абсолютная ошибка</w:t>
      </w:r>
      <w:r>
        <w:rPr>
          <w:rFonts w:ascii="Times New Roman" w:hAnsi="Times New Roman" w:eastAsia="Times New Roman" w:cs="Times New Roman"/>
          <w:color w:val="000000" w:themeColor="text1"/>
          <w:lang w:val="en-US"/>
          <w14:ligatures w14:val="none"/>
        </w:rPr>
        <w:t xml:space="preserve"> (AE),</w:t>
      </w:r>
      <w:r>
        <w:rPr>
          <w:rFonts w:ascii="Times New Roman" w:hAnsi="Times New Roman" w:eastAsia="Times New Roman" w:cs="Times New Roman"/>
          <w:color w:val="000000" w:themeColor="text1"/>
          <w:lang w:val="ru-RU"/>
          <w14:ligatures w14:val="none"/>
        </w:rPr>
        <w:t xml:space="preserve"> средняя ошибка</w:t>
      </w:r>
      <w:r>
        <w:rPr>
          <w:rFonts w:ascii="Times New Roman" w:hAnsi="Times New Roman" w:eastAsia="Times New Roman" w:cs="Times New Roman"/>
          <w:color w:val="000000" w:themeColor="text1"/>
          <w:lang w:val="en-US"/>
          <w14:ligatures w14:val="none"/>
        </w:rPr>
        <w:t xml:space="preserve"> (ME),</w:t>
      </w:r>
      <w:r>
        <w:rPr>
          <w:rFonts w:ascii="Times New Roman" w:hAnsi="Times New Roman" w:eastAsia="Times New Roman" w:cs="Times New Roman"/>
          <w:color w:val="000000" w:themeColor="text1"/>
          <w:lang w:val="ru-RU"/>
          <w14:ligatures w14:val="none"/>
        </w:rPr>
        <w:t xml:space="preserve"> стандартное отклонение</w:t>
      </w:r>
      <w:r>
        <w:rPr>
          <w:rFonts w:ascii="Times New Roman" w:hAnsi="Times New Roman" w:eastAsia="Times New Roman" w:cs="Times New Roman"/>
          <w:color w:val="000000" w:themeColor="text1"/>
          <w:lang w:val="en-US"/>
          <w14:ligatures w14:val="none"/>
        </w:rPr>
        <w:t xml:space="preserve"> (STD).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Таблица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Сравнение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алгоритмов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tbl>
      <w:tblPr>
        <w:tblStyle w:val="663"/>
        <w:tblW w:w="0" w:type="auto"/>
        <w:jc w:val="center"/>
        <w:tblBorders/>
        <w:tblLook w:val="04A0" w:firstRow="1" w:lastRow="0" w:firstColumn="1" w:lastColumn="0" w:noHBand="0" w:noVBand="1"/>
      </w:tblPr>
      <w:tblGrid>
        <w:gridCol w:w="2263"/>
        <w:gridCol w:w="1418"/>
        <w:gridCol w:w="991"/>
        <w:gridCol w:w="991"/>
        <w:gridCol w:w="991"/>
        <w:gridCol w:w="991"/>
        <w:gridCol w:w="991"/>
        <w:gridCol w:w="992"/>
      </w:tblGrid>
      <w:tr>
        <w:trPr>
          <w:jc w:val="center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Метод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Количество шагов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  <w:t xml:space="preserve">MAE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мВ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  <w:t xml:space="preserve">RMSE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 мВ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  <w:t xml:space="preserve">AE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мВ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  <w:t xml:space="preserve">ME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мВ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  <w:t xml:space="preserve">STD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мВ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en-US" w:eastAsia="ru-RU"/>
                <w14:ligatures w14:val="none"/>
              </w:rPr>
            </w:r>
          </w:p>
        </w:tc>
      </w:tr>
      <w:tr>
        <w:trPr>
          <w:jc w:val="center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Шаг 2%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14,33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0,51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1,20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6,76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-0,37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1,14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jc w:val="center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Шаг 10%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7,83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12,53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28,24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115,79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-9,21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26,70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jc w:val="center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Алгоритм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13,33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0,56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1,02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4,12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-0,36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0,96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jc w:val="center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Алгоритм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20,33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0,58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1,30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5,96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-0,18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1,29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jc w:val="center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Алгоритм 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13,67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0,78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1,26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4,52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-0,29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1,22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</w:tr>
      <w:tr>
        <w:trPr>
          <w:jc w:val="center"/>
        </w:trPr>
        <w:tc>
          <w:tcPr>
            <w:tcBorders/>
            <w:tcW w:w="22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Алгоритм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15,83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0,73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0,73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4,53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-0,11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  <w:t xml:space="preserve">1,23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ligatures w14:val="none"/>
              </w:rPr>
            </w:r>
          </w:p>
        </w:tc>
      </w:tr>
    </w:tbl>
    <w:p>
      <w:pPr>
        <w:pBdr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Анализ результатов показывает, что все адаптивные алгоритмы достигают точности, сопоставимой с равномерной сеткой 2% (MAE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&lt;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мВ, RMSE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&lt;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1,5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мВ), при этом алгоритм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1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обеспечивает наилучшее соотношение точности и количества измерений: снижение абсолютной ошибки на 40% при уменьшении времени эксперимента на 7%. Алгоритм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 4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демонстрирует снижение средней ошибки на 70% по сравнению с равномерной сеткой. Распределение шагов по диапазону SOC подтверждает корректную работу принципа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эквидистрибуции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: все методы автоматически сгущают сетку в областях высокой кривизны и разрежают её на линейных участках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(см.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рис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1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4590415"/>
                <wp:effectExtent l="0" t="0" r="0" b="635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20130" cy="459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1.90pt;height:361.4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Рис. 1. Сравнение графиков сеток измерений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Список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литературы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Li J., Peng Y., Wang Q., Liu H. Status and Prospects of Research on Lithium-Ion Battery Parameter Identification // Batteries. 2024. Vol. 10, № 6.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doi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: 10.3390/batteries10060194.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Zheng F., Xing Y., Jiang J.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et al.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Influence of different open circuit voltage tests on state of charge online estimation for lithium-ion batteries // Applied Energy.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2016.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Vol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. 183.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doi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: 10.1016/j.apenergy.2016.09.010.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Hou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T. An Efficient Dynamically Adaptive Mesh for Potentially Singular Solutions // Journal of Computational Physics.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2001.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Vol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. 172, № 2.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doi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: 10.1006/JCPH.2001.6844.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Fadlaoui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E., Ismail L.,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Masaif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N. Fitting the OCV-SOC relationship of a battery lithium-ion using genetic algorithm method // E3S Web of Conferences. 2021. Vol. 234.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doi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: 10.1051/e3sconf/202123400097.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Chen Y., Yang G., Liu X., He Z. A Time-Efficient and Accurate Open Circuit Voltage Estimation Method for Lithium-Ion Batteries // Energies. 2019. Vol. 12, № 9.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doi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: 10.3390/en12091803.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Wang Y., Ferrari R. M. G.,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Verhaegen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M. Continuous-Time System Identification and OCV Reconstruction of Li-ion Batteries via Regularized Least Squares. 2025.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doi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: 10.48550/arXiv.2509.21116.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Лямин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И.С., Голубков А.В., Кувшинова А.Н.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Автоматизация процесса построения и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валидации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 математической модели для оценивания состояния заряда электрических аккумуляторов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. Препринт // Программные продукты и системы. 2026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Kumar S., Das P., Kumar K. Adaptive mesh based efficient approximations for Darcy scale precipitation–dissolution models in porous media //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Int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J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Numer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Meth Fluids. 2024. Vol. 96, № 8.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doi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: 10.1002/fld.5294.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Kopteva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N., Madden N.,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Stynes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M. Grid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equidistribution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for reaction–diffusion problems in one dimension // Numerical Algorithms.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2005.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Vol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. 40, № 3.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doi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  <w:t xml:space="preserve">: 10.1007/s11075-005-4328-9.</w:t>
      </w:r>
      <w:r>
        <w:rPr>
          <w:rFonts w:ascii="Times New Roman" w:hAnsi="Times New Roman" w:eastAsia="Times New Roman" w:cs="Times New Roman"/>
          <w:color w:val="000000" w:themeColor="text1"/>
          <w:lang w:eastAsia="ru-RU"/>
          <w14:ligatures w14:val="none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Vivarelli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G., Qin N.,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Shahpar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S.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A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Review of Mesh Adaptation Technology Applied to Computational Fluid Dynamics // Fluids. 2025. Vol. 10, № 5.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doi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: 10.3390/fluids10050129.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r>
    </w:p>
    <w:p>
      <w:pPr>
        <w:pStyle w:val="65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Izmestiev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 I. Discrete curvature. 2025. 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doi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  <w:t xml:space="preserve">: 10.48550/arXiv.2502.09353.</w:t>
      </w:r>
      <w:r>
        <w:rPr>
          <w:rFonts w:ascii="Times New Roman" w:hAnsi="Times New Roman" w:eastAsia="Times New Roman" w:cs="Times New Roman"/>
          <w:color w:val="000000" w:themeColor="text1"/>
          <w:lang w:val="en-US" w:eastAsia="ru-RU"/>
          <w14:ligatures w14:val="none"/>
        </w:rPr>
      </w:r>
    </w:p>
    <w:sectPr>
      <w:footnotePr/>
      <w:endnotePr/>
      <w:type w:val="nextPage"/>
      <w:pgSz w:h="16838" w:orient="landscape" w:w="11906"/>
      <w:pgMar w:top="1134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5"/>
    <w:link w:val="6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5"/>
    <w:link w:val="6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35"/>
    <w:link w:val="6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5"/>
    <w:link w:val="6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5"/>
    <w:link w:val="6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5"/>
    <w:link w:val="63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5"/>
    <w:link w:val="6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5"/>
    <w:link w:val="6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5"/>
    <w:link w:val="6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35"/>
    <w:link w:val="647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35"/>
    <w:link w:val="649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51"/>
    <w:uiPriority w:val="29"/>
    <w:pPr>
      <w:pBdr/>
      <w:spacing/>
      <w:ind/>
    </w:pPr>
    <w:rPr>
      <w:i/>
    </w:rPr>
  </w:style>
  <w:style w:type="character" w:styleId="41">
    <w:name w:val="Intense Quote Char"/>
    <w:link w:val="655"/>
    <w:uiPriority w:val="30"/>
    <w:pPr>
      <w:pBdr/>
      <w:spacing/>
      <w:ind/>
    </w:pPr>
    <w:rPr>
      <w:i/>
    </w:rPr>
  </w:style>
  <w:style w:type="paragraph" w:styleId="42">
    <w:name w:val="Header"/>
    <w:basedOn w:val="625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35"/>
    <w:link w:val="42"/>
    <w:uiPriority w:val="99"/>
    <w:pPr>
      <w:pBdr/>
      <w:spacing/>
      <w:ind/>
    </w:pPr>
  </w:style>
  <w:style w:type="paragraph" w:styleId="44">
    <w:name w:val="Footer"/>
    <w:basedOn w:val="625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35"/>
    <w:link w:val="44"/>
    <w:uiPriority w:val="99"/>
    <w:pPr>
      <w:pBdr/>
      <w:spacing/>
      <w:ind/>
    </w:pPr>
  </w:style>
  <w:style w:type="character" w:styleId="47">
    <w:name w:val="Caption Char"/>
    <w:basedOn w:val="664"/>
    <w:link w:val="44"/>
    <w:uiPriority w:val="99"/>
    <w:pPr>
      <w:pBdr/>
      <w:spacing/>
      <w:ind/>
    </w:pPr>
  </w:style>
  <w:style w:type="table" w:styleId="49">
    <w:name w:val="Table Grid Light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3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3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5"/>
    <w:next w:val="62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5"/>
    <w:next w:val="62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5"/>
    <w:next w:val="62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5"/>
    <w:next w:val="62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5"/>
    <w:next w:val="62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5"/>
    <w:next w:val="62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5"/>
    <w:next w:val="62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5"/>
    <w:next w:val="62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5"/>
    <w:next w:val="625"/>
    <w:uiPriority w:val="99"/>
    <w:unhideWhenUsed/>
    <w:pPr>
      <w:pBdr/>
      <w:spacing w:after="0" w:afterAutospacing="0"/>
      <w:ind/>
    </w:pPr>
  </w:style>
  <w:style w:type="paragraph" w:styleId="625" w:default="1">
    <w:name w:val="Normal"/>
    <w:qFormat/>
    <w:pPr>
      <w:pBdr/>
      <w:spacing/>
      <w:ind/>
    </w:pPr>
  </w:style>
  <w:style w:type="paragraph" w:styleId="626">
    <w:name w:val="Heading 1"/>
    <w:basedOn w:val="625"/>
    <w:next w:val="625"/>
    <w:link w:val="6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7">
    <w:name w:val="Heading 2"/>
    <w:basedOn w:val="625"/>
    <w:next w:val="625"/>
    <w:link w:val="63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8">
    <w:name w:val="Heading 3"/>
    <w:basedOn w:val="625"/>
    <w:next w:val="625"/>
    <w:link w:val="64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9">
    <w:name w:val="Heading 4"/>
    <w:basedOn w:val="625"/>
    <w:next w:val="625"/>
    <w:link w:val="641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30">
    <w:name w:val="Heading 5"/>
    <w:basedOn w:val="625"/>
    <w:next w:val="625"/>
    <w:link w:val="642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631">
    <w:name w:val="Heading 6"/>
    <w:basedOn w:val="625"/>
    <w:next w:val="625"/>
    <w:link w:val="643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2">
    <w:name w:val="Heading 7"/>
    <w:basedOn w:val="625"/>
    <w:next w:val="625"/>
    <w:link w:val="644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33">
    <w:name w:val="Heading 8"/>
    <w:basedOn w:val="625"/>
    <w:next w:val="625"/>
    <w:link w:val="645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4">
    <w:name w:val="Heading 9"/>
    <w:basedOn w:val="625"/>
    <w:next w:val="625"/>
    <w:link w:val="646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35" w:default="1">
    <w:name w:val="Default Paragraph Font"/>
    <w:uiPriority w:val="1"/>
    <w:semiHidden/>
    <w:unhideWhenUsed/>
    <w:pPr>
      <w:pBdr/>
      <w:spacing/>
      <w:ind/>
    </w:pPr>
  </w:style>
  <w:style w:type="table" w:styleId="6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7" w:default="1">
    <w:name w:val="No List"/>
    <w:uiPriority w:val="99"/>
    <w:semiHidden/>
    <w:unhideWhenUsed/>
    <w:pPr>
      <w:pBdr/>
      <w:spacing/>
      <w:ind/>
    </w:pPr>
  </w:style>
  <w:style w:type="character" w:styleId="638" w:customStyle="1">
    <w:name w:val="Заголовок 1 Знак"/>
    <w:basedOn w:val="635"/>
    <w:link w:val="62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9" w:customStyle="1">
    <w:name w:val="Заголовок 2 Знак"/>
    <w:basedOn w:val="635"/>
    <w:link w:val="62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40" w:customStyle="1">
    <w:name w:val="Заголовок 3 Знак"/>
    <w:basedOn w:val="635"/>
    <w:link w:val="628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41" w:customStyle="1">
    <w:name w:val="Заголовок 4 Знак"/>
    <w:basedOn w:val="635"/>
    <w:link w:val="629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42" w:customStyle="1">
    <w:name w:val="Заголовок 5 Знак"/>
    <w:basedOn w:val="635"/>
    <w:link w:val="630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43" w:customStyle="1">
    <w:name w:val="Заголовок 6 Знак"/>
    <w:basedOn w:val="635"/>
    <w:link w:val="631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44" w:customStyle="1">
    <w:name w:val="Заголовок 7 Знак"/>
    <w:basedOn w:val="635"/>
    <w:link w:val="63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45" w:customStyle="1">
    <w:name w:val="Заголовок 8 Знак"/>
    <w:basedOn w:val="635"/>
    <w:link w:val="633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46" w:customStyle="1">
    <w:name w:val="Заголовок 9 Знак"/>
    <w:basedOn w:val="635"/>
    <w:link w:val="634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47">
    <w:name w:val="Title"/>
    <w:basedOn w:val="625"/>
    <w:next w:val="625"/>
    <w:link w:val="648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8" w:customStyle="1">
    <w:name w:val="Заголовок Знак"/>
    <w:basedOn w:val="635"/>
    <w:link w:val="647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9">
    <w:name w:val="Subtitle"/>
    <w:basedOn w:val="625"/>
    <w:next w:val="625"/>
    <w:link w:val="650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0" w:customStyle="1">
    <w:name w:val="Подзаголовок Знак"/>
    <w:basedOn w:val="635"/>
    <w:link w:val="649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51">
    <w:name w:val="Quote"/>
    <w:basedOn w:val="625"/>
    <w:next w:val="625"/>
    <w:link w:val="6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52" w:customStyle="1">
    <w:name w:val="Цитата 2 Знак"/>
    <w:basedOn w:val="635"/>
    <w:link w:val="6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53">
    <w:name w:val="List Paragraph"/>
    <w:basedOn w:val="625"/>
    <w:uiPriority w:val="34"/>
    <w:qFormat/>
    <w:pPr>
      <w:pBdr/>
      <w:spacing/>
      <w:ind w:left="720"/>
      <w:contextualSpacing w:val="true"/>
    </w:pPr>
  </w:style>
  <w:style w:type="character" w:styleId="654">
    <w:name w:val="Intense Emphasis"/>
    <w:basedOn w:val="635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55">
    <w:name w:val="Intense Quote"/>
    <w:basedOn w:val="625"/>
    <w:next w:val="625"/>
    <w:link w:val="65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656" w:customStyle="1">
    <w:name w:val="Выделенная цитата Знак"/>
    <w:basedOn w:val="635"/>
    <w:link w:val="65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57">
    <w:name w:val="Intense Reference"/>
    <w:basedOn w:val="635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658" w:customStyle="1">
    <w:name w:val="apple-converted-space"/>
    <w:basedOn w:val="635"/>
    <w:pPr>
      <w:pBdr/>
      <w:spacing/>
      <w:ind/>
    </w:pPr>
  </w:style>
  <w:style w:type="character" w:styleId="659">
    <w:name w:val="Emphasis"/>
    <w:basedOn w:val="635"/>
    <w:uiPriority w:val="20"/>
    <w:qFormat/>
    <w:pPr>
      <w:pBdr/>
      <w:spacing/>
      <w:ind/>
    </w:pPr>
    <w:rPr>
      <w:i/>
      <w:iCs/>
    </w:rPr>
  </w:style>
  <w:style w:type="character" w:styleId="660">
    <w:name w:val="Hyperlink"/>
    <w:basedOn w:val="6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661" w:customStyle="1">
    <w:name w:val="Unresolved Mention"/>
    <w:basedOn w:val="63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662">
    <w:name w:val="Placeholder Text"/>
    <w:basedOn w:val="635"/>
    <w:uiPriority w:val="99"/>
    <w:semiHidden/>
    <w:pPr>
      <w:pBdr/>
      <w:spacing/>
      <w:ind/>
    </w:pPr>
    <w:rPr>
      <w:color w:val="666666"/>
    </w:rPr>
  </w:style>
  <w:style w:type="table" w:styleId="663">
    <w:name w:val="Table Grid"/>
    <w:basedOn w:val="63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4">
    <w:name w:val="Caption"/>
    <w:basedOn w:val="625"/>
    <w:next w:val="625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revision>16</cp:revision>
  <dcterms:created xsi:type="dcterms:W3CDTF">2026-03-13T09:52:00Z</dcterms:created>
  <dcterms:modified xsi:type="dcterms:W3CDTF">2026-04-06T17:22:57Z</dcterms:modified>
</cp:coreProperties>
</file>