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8A13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Социально-ориентированные некоммерческие  организации и их роль  в решении проблем пожилых людей</w:t>
      </w:r>
    </w:p>
    <w:p w14:paraId="3708C26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ru-RU"/>
        </w:rPr>
      </w:pPr>
      <w:r>
        <w:rPr>
          <w:rFonts w:ascii="Times New Roman" w:hAnsi="Times New Roman" w:cs="Times New Roman"/>
          <w:sz w:val="24"/>
          <w:szCs w:val="24"/>
          <w:lang w:val="ru-RU"/>
        </w:rPr>
        <w:t>Бритшева</w:t>
      </w:r>
      <w:r>
        <w:rPr>
          <w:rFonts w:hint="default" w:ascii="Times New Roman" w:hAnsi="Times New Roman" w:cs="Times New Roman"/>
          <w:sz w:val="24"/>
          <w:szCs w:val="24"/>
          <w:lang w:val="ru-RU"/>
        </w:rPr>
        <w:t xml:space="preserve"> Дарья Павловна</w:t>
      </w:r>
    </w:p>
    <w:p w14:paraId="7430105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Студентка</w:t>
      </w:r>
    </w:p>
    <w:p w14:paraId="1688C05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Аникудимова Елена Анатольевна</w:t>
      </w:r>
    </w:p>
    <w:p w14:paraId="7376ED6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Научный руководитель, доцент, к.п.н.</w:t>
      </w:r>
    </w:p>
    <w:p w14:paraId="15662A0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Факультет гуманитарных наук и социальных технологий</w:t>
      </w:r>
    </w:p>
    <w:p w14:paraId="1398417D">
      <w:pPr>
        <w:jc w:val="both"/>
        <w:rPr>
          <w:rFonts w:ascii="Times New Roman" w:hAnsi="Times New Roman" w:cs="Times New Roman"/>
          <w:sz w:val="28"/>
          <w:szCs w:val="28"/>
        </w:rPr>
      </w:pPr>
    </w:p>
    <w:p w14:paraId="2B1813BC">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000000"/>
          <w:spacing w:val="-1"/>
          <w:sz w:val="24"/>
          <w:szCs w:val="24"/>
          <w:shd w:val="clear" w:color="auto" w:fill="FFFFFF"/>
        </w:rPr>
      </w:pPr>
      <w:r>
        <w:rPr>
          <w:rFonts w:hint="default" w:ascii="Times New Roman" w:hAnsi="Times New Roman" w:cs="Times New Roman"/>
          <w:color w:val="000000"/>
          <w:spacing w:val="-1"/>
          <w:sz w:val="24"/>
          <w:szCs w:val="24"/>
          <w:shd w:val="clear" w:color="auto" w:fill="FFFFFF"/>
        </w:rPr>
        <w:t>Ключевые слова: социально ориентированные некоммерческие организации, СОНКО, пожилые люди, старшее поколение, активное долголетие, социальная поддержка, социальное обслуживание.</w:t>
      </w:r>
    </w:p>
    <w:p w14:paraId="543459A6">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eastAsia="Times New Roman" w:cs="Times New Roman"/>
          <w:color w:val="000000"/>
          <w:spacing w:val="-2"/>
          <w:sz w:val="24"/>
          <w:szCs w:val="24"/>
          <w:lang w:eastAsia="ru-RU"/>
        </w:rPr>
      </w:pPr>
      <w:r>
        <w:rPr>
          <w:rFonts w:hint="default" w:ascii="Times New Roman" w:hAnsi="Times New Roman" w:cs="Times New Roman"/>
          <w:color w:val="000000"/>
          <w:spacing w:val="-1"/>
          <w:sz w:val="24"/>
          <w:szCs w:val="24"/>
          <w:shd w:val="clear" w:color="auto" w:fill="FFFFFF"/>
        </w:rPr>
        <w:t>Аннотация: В работе проанализированы понятие, правовые основы деятельности СОНКО в Российской Федерации, а также формы и методы работы с пожилыми людьми, включая социальное обслуживание, правозащитную, образовательную деятельность и вовлечение в «серебряное» волонтерство.</w:t>
      </w:r>
      <w:bookmarkStart w:id="0" w:name="_GoBack"/>
      <w:bookmarkEnd w:id="0"/>
    </w:p>
    <w:p w14:paraId="6E90B45B">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В условиях демографического старения, характерного для большинства стран мира, доля пожилых граждан в структуре населения неуклонно возрастает, что актуализирует поиск эффективных механизмов обеспечения достойного качества их жизни. Социально ориентированные некоммерческие организации (СОНКО) выступают в данном контексте не просто дополнением к государственным институтам, а системным элементом социальной политики, способным гибко реагировать на запросы уязвимых групп. Теоретический анализ показывает, что понятие «социально ориентированная некоммерческая организация» получило законодательное закрепление в Российской Федерации с 2010 года и в настоящее время интегрировано в Федеральный закон № 7</w:t>
      </w:r>
      <w:r>
        <w:rPr>
          <w:rFonts w:ascii="Times New Roman" w:hAnsi="Times New Roman" w:eastAsia="Times New Roman" w:cs="Times New Roman"/>
          <w:color w:val="000000"/>
          <w:spacing w:val="-2"/>
          <w:sz w:val="24"/>
          <w:szCs w:val="24"/>
          <w:lang w:eastAsia="ru-RU"/>
        </w:rPr>
        <w:noBreakHyphen/>
      </w:r>
      <w:r>
        <w:rPr>
          <w:rFonts w:ascii="Times New Roman" w:hAnsi="Times New Roman" w:eastAsia="Times New Roman" w:cs="Times New Roman"/>
          <w:color w:val="000000"/>
          <w:spacing w:val="-2"/>
          <w:sz w:val="24"/>
          <w:szCs w:val="24"/>
          <w:lang w:eastAsia="ru-RU"/>
        </w:rPr>
        <w:t>ФЗ «О некоммерческих организациях». К СОНКО относятся организации, созданные в предусмотренных законом формах, которые осуществляют деятельность, направленную на решение социальных проблем, развитие гражданского общества и поддержку граждан, находящихся в трудной жизненной ситуации. Ключевым отличием СОНКО от иных некоммерческих структур является их целенаправленная работа с «болевыми точками» социума: социальное обслуживание инвалидов и пенсионеров, профилактика социального сиротства, поддержка малоимущих, развитие благотворительности и добровольчества.</w:t>
      </w:r>
    </w:p>
    <w:p w14:paraId="07639A73">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Правовая основа деятельности СОНКО в России носит многоуровневый характер. Фундаментом выступают конституционные гарантии права на объединение и положение о социальном государстве (ст. 7, 30 Конституции РФ). Базовым отраслевым актом является Федеральный закон «О некоммерческих организациях», который устанавливает организационно-правовые формы, порядок создания и ликвидации, а также содержит исчерпывающий перечень видов деятельности, позволяющих организации претендовать на статус социально ориентированной. Важную роль играет специальное законодательство: законы «Об общественных объединениях», «О благотворительной деятельности», «Об основах социального обслуживания граждан», которые регламентируют отдельные направления работы. Третий уровень образуют нормы, закрепляющие меры государственной поддержки, — финансовые субсидии, гранты, имущественная поддержка, налоговые льготы (в частности, освобождение от налога на прибыль целевых поступлений). Налоговый кодекс РФ также предоставляет СОНКО возможность применения упрощённой системы налогообложения, что повышает их экономическую устойчивость. Таким образом, правовое поле направлено на создание благоприятных условий для интеграции некоммерческого сектора в публичную систему оказания социальных услуг, одновременно обеспечивая прозрачность и подконтрольность деятельности.</w:t>
      </w:r>
    </w:p>
    <w:p w14:paraId="4F47CB22">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Региональный аспект рассматривается на примере Ульяновской области, где сложилась гибридная модель партнёрства государства и СОНКО. Региональная политика опирается на государственную программу «Социальная поддержка и защита населения», механизмы грантовой поддержки, социального заказа и социальных сертификатов. В области действуют различные типы организаций: профессиональные поставщики услуг (например, центры активного долголетия, сочетающие дневной уход, клубную работу и оздоровительные мероприятия); фонды адресной помощи, ориентированные на одиноких и маломобильных пожилых; правозащитные и просветительские НКО; а также ресурсные центры «серебряного» волонтерства. Отличительной чертой является институализированный диалог с властью через общественные советы, рабочие группы и софинансирование проектов, что позволяет СОНКО влиять на формирование социальной политики и апробировать инновационные модели услуг.</w:t>
      </w:r>
    </w:p>
    <w:p w14:paraId="437C6C09">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Анализ перспектив развития СОНКО в работе с пожилыми людьми позволяет выделить три стратегических направления. Во-первых, цифровая трансформация, предполагающая переход к гибридным моделям, в которых дистанционные технологии (телемедицина, цифровые платформы для заказа услуг, онлайн-досуг) органично дополняют личное общение, что требует от организаций новых компетенций. Во-вторых, диверсификация ресурсной базы и устойчивость: углубление сотрудничества с государством в форматах социального заказа и государственно-частного партнёрства, развитие целевых капиталов (эндаументов), краудфандинга, использование ESG-повестки для привлечения корпоративных ресурсов. В-третьих, персонализация и доказательность: переход от универсальных программ к индивидуальным жизненным траекториям на основе методологии кейс-менеджмента, внедрение систем оценки измеримого социального результата, что повышает доверие доноров и позволяет демонстрировать долгосрочное воздействие. Реализация этих перспектив требует совершенствования кадровой подготовки, развития цифровых навыков у сотрудников и самих пожилых людей, а также тиражирования успешных практик.</w:t>
      </w:r>
    </w:p>
    <w:p w14:paraId="0BE24C3F">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2"/>
          <w:sz w:val="24"/>
          <w:szCs w:val="24"/>
          <w:lang w:eastAsia="ru-RU"/>
        </w:rPr>
        <w:t>Таким образом, проведённое исследование подтверждает гипотезу о том, что оценка эффективности и выявление перспектив развития являются необходимыми условиями повышения роли СОНКО в решении проблем пожилых граждан. Деятельность социально ориентированных некоммерческих организаций вносит неоценимый вклад в построение инклюзивной социальной среды, способствует реализации принципа активного долголетия и обеспечивает адресность, гибкость и человеко-центрированность поддержки, которые не всегда достижимы в рамках стандартизированных государственных услуг. Дальнейшее развитие этого сектора возможно при условии совершенствования нормативно-ресурсной базы, системного внедрения инновационных методов и укрепления межсекторного партнёрства.</w:t>
      </w:r>
    </w:p>
    <w:p w14:paraId="32DE423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Список литературы:</w:t>
      </w:r>
    </w:p>
    <w:p w14:paraId="008380CF">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ascii="Times New Roman" w:hAnsi="Times New Roman" w:cs="Times New Roman"/>
          <w:sz w:val="24"/>
          <w:szCs w:val="24"/>
        </w:rPr>
      </w:pPr>
      <w:r>
        <w:rPr>
          <w:rFonts w:ascii="Times New Roman" w:hAnsi="Times New Roman" w:cs="Times New Roman"/>
          <w:color w:val="000000"/>
          <w:spacing w:val="-1"/>
          <w:sz w:val="24"/>
          <w:szCs w:val="24"/>
          <w:shd w:val="clear" w:color="auto" w:fill="FFFFFF"/>
        </w:rPr>
        <w:t>1.Абрамова О.В., Шишкин С.В. Доступность социальных услуг для</w:t>
      </w:r>
      <w:r>
        <w:rPr>
          <w:rFonts w:ascii="Times New Roman" w:hAnsi="Times New Roman" w:cs="Times New Roman"/>
          <w:color w:val="000000"/>
          <w:spacing w:val="-1"/>
          <w:sz w:val="24"/>
          <w:szCs w:val="24"/>
        </w:rPr>
        <w:br w:type="textWrapping"/>
      </w:r>
      <w:r>
        <w:rPr>
          <w:rFonts w:ascii="Times New Roman" w:hAnsi="Times New Roman" w:cs="Times New Roman"/>
          <w:color w:val="000000"/>
          <w:spacing w:val="-1"/>
          <w:sz w:val="24"/>
          <w:szCs w:val="24"/>
          <w:shd w:val="clear" w:color="auto" w:fill="FFFFFF"/>
        </w:rPr>
        <w:t>пожилых граждан: роль негосударственных поставщиков // Вопросы</w:t>
      </w:r>
      <w:r>
        <w:rPr>
          <w:rFonts w:ascii="Times New Roman" w:hAnsi="Times New Roman" w:cs="Times New Roman"/>
          <w:color w:val="000000"/>
          <w:spacing w:val="-1"/>
          <w:sz w:val="24"/>
          <w:szCs w:val="24"/>
        </w:rPr>
        <w:br w:type="textWrapping"/>
      </w:r>
      <w:r>
        <w:rPr>
          <w:rFonts w:ascii="Times New Roman" w:hAnsi="Times New Roman" w:cs="Times New Roman"/>
          <w:color w:val="000000"/>
          <w:spacing w:val="-1"/>
          <w:sz w:val="24"/>
          <w:szCs w:val="24"/>
          <w:shd w:val="clear" w:color="auto" w:fill="FFFFFF"/>
        </w:rPr>
        <w:t>государственного и муниципального управления. – 2022. – № 3. – С. 7-30.</w:t>
      </w:r>
    </w:p>
    <w:p w14:paraId="278D2ED8">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ascii="Times New Roman" w:hAnsi="Times New Roman" w:cs="Times New Roman"/>
          <w:sz w:val="24"/>
          <w:szCs w:val="24"/>
        </w:rPr>
      </w:pPr>
      <w:r>
        <w:rPr>
          <w:rFonts w:ascii="Times New Roman" w:hAnsi="Times New Roman" w:cs="Times New Roman"/>
          <w:color w:val="000000"/>
          <w:spacing w:val="-1"/>
          <w:sz w:val="24"/>
          <w:szCs w:val="24"/>
          <w:shd w:val="clear" w:color="auto" w:fill="FFFFFF"/>
        </w:rPr>
        <w:t xml:space="preserve"> 2. Баркер Р.Л. Социальная работа с пожилыми людьми. Практическое</w:t>
      </w:r>
      <w:r>
        <w:rPr>
          <w:rFonts w:ascii="Times New Roman" w:hAnsi="Times New Roman" w:cs="Times New Roman"/>
          <w:color w:val="000000"/>
          <w:spacing w:val="-1"/>
          <w:sz w:val="24"/>
          <w:szCs w:val="24"/>
        </w:rPr>
        <w:br w:type="textWrapping"/>
      </w:r>
      <w:r>
        <w:rPr>
          <w:rFonts w:ascii="Times New Roman" w:hAnsi="Times New Roman" w:cs="Times New Roman"/>
          <w:color w:val="000000"/>
          <w:spacing w:val="-1"/>
          <w:sz w:val="24"/>
          <w:szCs w:val="24"/>
          <w:shd w:val="clear" w:color="auto" w:fill="FFFFFF"/>
        </w:rPr>
        <w:t>руководство. Пер. с англ. – М.: Альпина Паблишер, 2020. – 350 с.</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D1292E"/>
    <w:rsid w:val="00090DE1"/>
    <w:rsid w:val="00D1292E"/>
    <w:rsid w:val="33B756B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4">
    <w:name w:val="messagetext"/>
    <w:basedOn w:val="2"/>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1164</Words>
  <Characters>6641</Characters>
  <Lines>55</Lines>
  <Paragraphs>15</Paragraphs>
  <TotalTime>30</TotalTime>
  <ScaleCrop>false</ScaleCrop>
  <LinksUpToDate>false</LinksUpToDate>
  <CharactersWithSpaces>7790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2026-03-26T15:27:00Z</dcterms:created>
  <dc:creator>User Windows</dc:creator>
  <cp:lastModifiedBy>Dasha</cp:lastModifiedBy>
  <dcterms:modified xsi:type="dcterms:W3CDTF">2026-04-01T17:45:11Z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9342C8E739504EEC9FB07484AFC08280_12</vt:lpwstr>
  </property>
</Properties>
</file>