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E7D" w:rsidRPr="00AA5E7D" w:rsidRDefault="00AA5E7D" w:rsidP="00AA5E7D">
      <w:pPr>
        <w:spacing w:before="40" w:after="40" w:line="360" w:lineRule="auto"/>
        <w:ind w:firstLine="709"/>
        <w:jc w:val="both"/>
        <w:rPr>
          <w:rFonts w:ascii="Times New Roman" w:hAnsi="Times New Roman" w:cs="Times New Roman"/>
        </w:rPr>
      </w:pPr>
      <w:r w:rsidRPr="00AA5E7D">
        <w:rPr>
          <w:rFonts w:ascii="Times New Roman" w:hAnsi="Times New Roman" w:cs="Times New Roman"/>
          <w:b/>
          <w:bCs/>
        </w:rPr>
        <w:t>Выявление ключевых проблем, рисков и барьеров на пути масштабирования технологий искусственного интеллекта в государственном администрировании Российской Федерации</w:t>
      </w:r>
    </w:p>
    <w:p w:rsidR="00AA5E7D" w:rsidRPr="00A76E07" w:rsidRDefault="00AA5E7D" w:rsidP="00AA5E7D">
      <w:pPr>
        <w:spacing w:before="40" w:after="40" w:line="360" w:lineRule="auto"/>
        <w:ind w:firstLine="709"/>
        <w:jc w:val="both"/>
        <w:rPr>
          <w:rFonts w:ascii="Times New Roman" w:hAnsi="Times New Roman" w:cs="Times New Roman"/>
        </w:rPr>
      </w:pPr>
      <w:r w:rsidRPr="00A76E07">
        <w:rPr>
          <w:rFonts w:ascii="Times New Roman" w:hAnsi="Times New Roman" w:cs="Times New Roman"/>
        </w:rPr>
        <w:t>Введение</w:t>
      </w:r>
    </w:p>
    <w:p w:rsidR="0060646A" w:rsidRDefault="0060646A" w:rsidP="0060646A">
      <w:pPr>
        <w:spacing w:before="40" w:after="40" w:line="360" w:lineRule="auto"/>
        <w:ind w:firstLine="709"/>
        <w:jc w:val="both"/>
        <w:rPr>
          <w:rFonts w:ascii="Times New Roman" w:hAnsi="Times New Roman" w:cs="Times New Roman"/>
        </w:rPr>
      </w:pPr>
      <w:r w:rsidRPr="0060646A">
        <w:rPr>
          <w:rFonts w:ascii="Times New Roman" w:hAnsi="Times New Roman" w:cs="Times New Roman"/>
        </w:rPr>
        <w:t xml:space="preserve">Внедрение технологий искусственного интеллекта (ИИ) в систему государственного администрирования Российской Федерации переходит от стадии разрозненных пилотных проектов к попыткам системного масштабирования. Согласно обновленной «Национальной стратегии развития искусственного интеллекта на период до 2030 года», использование нейросетевых моделей является ключевым фактором повышения операционной эффективности управленческих решений [1]. Тем не менее, анализ экспертных отчетов [3] и аудиторских данных Счетной палаты [4] свидетельствует о наличии глубоких системных барьеров, препятствующих трансформации государственного управления в «управление, основанное на </w:t>
      </w:r>
      <w:proofErr w:type="spellStart"/>
      <w:r w:rsidRPr="0060646A">
        <w:rPr>
          <w:rFonts w:ascii="Times New Roman" w:hAnsi="Times New Roman" w:cs="Times New Roman"/>
        </w:rPr>
        <w:t>данных»</w:t>
      </w:r>
      <w:proofErr w:type="spellEnd"/>
    </w:p>
    <w:p w:rsidR="00AA5E7D" w:rsidRPr="0060646A" w:rsidRDefault="00AA5E7D" w:rsidP="0060646A">
      <w:pPr>
        <w:pStyle w:val="a7"/>
        <w:numPr>
          <w:ilvl w:val="0"/>
          <w:numId w:val="3"/>
        </w:numPr>
        <w:spacing w:before="40" w:after="40" w:line="360" w:lineRule="auto"/>
        <w:jc w:val="both"/>
        <w:rPr>
          <w:rFonts w:ascii="Times New Roman" w:hAnsi="Times New Roman" w:cs="Times New Roman"/>
        </w:rPr>
      </w:pPr>
      <w:r w:rsidRPr="0060646A">
        <w:rPr>
          <w:rFonts w:ascii="Times New Roman" w:hAnsi="Times New Roman" w:cs="Times New Roman"/>
        </w:rPr>
        <w:t xml:space="preserve">Правовые барьеры и проблема ответственности. </w:t>
      </w:r>
    </w:p>
    <w:p w:rsidR="00AA5E7D" w:rsidRPr="0060646A" w:rsidRDefault="00AA5E7D" w:rsidP="00AA5E7D">
      <w:pPr>
        <w:spacing w:before="40" w:after="40" w:line="360" w:lineRule="auto"/>
        <w:ind w:firstLine="709"/>
        <w:jc w:val="both"/>
        <w:rPr>
          <w:rFonts w:ascii="Times New Roman" w:hAnsi="Times New Roman" w:cs="Times New Roman"/>
        </w:rPr>
      </w:pPr>
      <w:r w:rsidRPr="00AA5E7D">
        <w:rPr>
          <w:rFonts w:ascii="Times New Roman" w:hAnsi="Times New Roman" w:cs="Times New Roman"/>
        </w:rPr>
        <w:t>Фундаментальным препятствием остается отставание нормативной базы от темпов технологического прогресса. Несмотря на принятие специализированных концепций регулирования, в правовом поле сохраняются «серые зоны», касающиеся ответственности за ущерб, вызванный действиями алгоритмов.</w:t>
      </w:r>
      <w:r w:rsidR="0060646A" w:rsidRPr="0060646A">
        <w:rPr>
          <w:rFonts w:ascii="Times New Roman" w:hAnsi="Times New Roman" w:cs="Times New Roman"/>
        </w:rPr>
        <w:t>[2]</w:t>
      </w:r>
      <w:r w:rsidRPr="00AA5E7D">
        <w:rPr>
          <w:rFonts w:ascii="Times New Roman" w:hAnsi="Times New Roman" w:cs="Times New Roman"/>
        </w:rPr>
        <w:t xml:space="preserve"> В государственном управлении, где ошибка ИИ может привести к ограничению прав и свобод граждан (например, при ошибочном отказе в пособиях или неправомерной блокировке счетов), вопрос ответственности становится критическим. Действующее законодательство ориентировано на субъектный состав — физических или юридических лиц, в то время как ответственность разработчика нейросети, оператора данных (чиновника) и поставщика инфраструктуры юридически не разграничена. Это порождает «презумпцию недоверия» среди государственных служащих, которые блокируют внедрение ИИ из опасений административной или уголовной ответственности за сбои, вызванные работой «черного ящика».</w:t>
      </w:r>
      <w:r w:rsidR="0060646A" w:rsidRPr="0060646A">
        <w:rPr>
          <w:rFonts w:ascii="Times New Roman" w:hAnsi="Times New Roman" w:cs="Times New Roman"/>
        </w:rPr>
        <w:t>[3]</w:t>
      </w:r>
    </w:p>
    <w:p w:rsidR="00AA5E7D" w:rsidRPr="00AA5E7D" w:rsidRDefault="00AA5E7D" w:rsidP="00AA5E7D">
      <w:pPr>
        <w:pStyle w:val="a7"/>
        <w:numPr>
          <w:ilvl w:val="0"/>
          <w:numId w:val="2"/>
        </w:numPr>
        <w:spacing w:before="40" w:after="40" w:line="360" w:lineRule="auto"/>
        <w:jc w:val="both"/>
        <w:rPr>
          <w:rFonts w:ascii="Times New Roman" w:hAnsi="Times New Roman" w:cs="Times New Roman"/>
        </w:rPr>
      </w:pPr>
      <w:r w:rsidRPr="00AA5E7D">
        <w:rPr>
          <w:rFonts w:ascii="Times New Roman" w:hAnsi="Times New Roman" w:cs="Times New Roman"/>
        </w:rPr>
        <w:t>Институциональные ограничения: дилемма 44-ФЗ.</w:t>
      </w:r>
    </w:p>
    <w:p w:rsidR="00AA5E7D" w:rsidRPr="00AA5E7D" w:rsidRDefault="00AA5E7D" w:rsidP="00AA5E7D">
      <w:pPr>
        <w:spacing w:beforeLines="40" w:before="96" w:afterLines="40" w:after="96" w:line="360" w:lineRule="auto"/>
        <w:ind w:firstLine="709"/>
        <w:jc w:val="both"/>
        <w:rPr>
          <w:rFonts w:ascii="Times New Roman" w:eastAsia="Times New Roman" w:hAnsi="Times New Roman" w:cs="Times New Roman"/>
          <w:color w:val="000000" w:themeColor="text1"/>
          <w:kern w:val="0"/>
          <w:lang w:eastAsia="ru-RU"/>
          <w14:ligatures w14:val="none"/>
        </w:rPr>
      </w:pPr>
      <w:r w:rsidRPr="00AA5E7D">
        <w:rPr>
          <w:rFonts w:ascii="Times New Roman" w:eastAsia="Times New Roman" w:hAnsi="Times New Roman" w:cs="Times New Roman"/>
          <w:color w:val="000000" w:themeColor="text1"/>
          <w:kern w:val="0"/>
          <w:lang w:eastAsia="ru-RU"/>
          <w14:ligatures w14:val="none"/>
        </w:rPr>
        <w:t>Федеральный закон «О контрактной системе в сфере закупок товаров, работ, услуг для обеспечения государственных и муниципальных нужд» от 05.04.2013</w:t>
      </w:r>
      <w:r>
        <w:rPr>
          <w:rFonts w:ascii="Times New Roman" w:eastAsia="Times New Roman" w:hAnsi="Times New Roman" w:cs="Times New Roman"/>
          <w:color w:val="000000" w:themeColor="text1"/>
          <w:kern w:val="0"/>
          <w:lang w:eastAsia="ru-RU"/>
          <w14:ligatures w14:val="none"/>
        </w:rPr>
        <w:t xml:space="preserve"> </w:t>
      </w:r>
      <w:r w:rsidRPr="00AA5E7D">
        <w:rPr>
          <w:rFonts w:ascii="Times New Roman" w:hAnsi="Times New Roman" w:cs="Times New Roman"/>
        </w:rPr>
        <w:t>выступает жестким инфраструктурным барьером для развития инноваций. Специфика машинного обучения предполагает итеративный процесс: постоянное дообучение модели на новых данных, корректировку весов и изменение архитектуры алгоритма. Однако классическая модель гос</w:t>
      </w:r>
      <w:r>
        <w:rPr>
          <w:rFonts w:ascii="Times New Roman" w:hAnsi="Times New Roman" w:cs="Times New Roman"/>
        </w:rPr>
        <w:t xml:space="preserve">ударственного </w:t>
      </w:r>
      <w:r w:rsidRPr="00AA5E7D">
        <w:rPr>
          <w:rFonts w:ascii="Times New Roman" w:hAnsi="Times New Roman" w:cs="Times New Roman"/>
        </w:rPr>
        <w:t xml:space="preserve">заказа требует жесткого описания результата (технического </w:t>
      </w:r>
      <w:r w:rsidRPr="00AA5E7D">
        <w:rPr>
          <w:rFonts w:ascii="Times New Roman" w:hAnsi="Times New Roman" w:cs="Times New Roman"/>
        </w:rPr>
        <w:lastRenderedPageBreak/>
        <w:t>задания) на этапе заключения контракта. В условиях ИИ-разработки невозможно гарантировать 100% точность модели.</w:t>
      </w:r>
      <w:r w:rsidR="0060646A" w:rsidRPr="0060646A">
        <w:rPr>
          <w:rFonts w:ascii="Times New Roman" w:hAnsi="Times New Roman" w:cs="Times New Roman"/>
        </w:rPr>
        <w:t>[4]</w:t>
      </w:r>
      <w:r w:rsidRPr="00AA5E7D">
        <w:rPr>
          <w:rFonts w:ascii="Times New Roman" w:hAnsi="Times New Roman" w:cs="Times New Roman"/>
        </w:rPr>
        <w:t xml:space="preserve"> Заказчики оказываются перед дилеммой: устанавливать нереалистичные KPI, отпугивающие разработчиков, либо занижать требования, получая неэффективный продукт. Кроме того, процедуры покупки прав на результаты интеллектуальной деятельности (РИД) и наборы данных (датасеты) остаются крайне бюрократизированными.</w:t>
      </w:r>
    </w:p>
    <w:p w:rsidR="00E33828" w:rsidRPr="00E33828" w:rsidRDefault="00AA5E7D" w:rsidP="00E33828">
      <w:pPr>
        <w:pStyle w:val="a7"/>
        <w:numPr>
          <w:ilvl w:val="0"/>
          <w:numId w:val="2"/>
        </w:numPr>
        <w:spacing w:before="40" w:after="40" w:line="360" w:lineRule="auto"/>
        <w:jc w:val="both"/>
        <w:rPr>
          <w:rFonts w:ascii="Times New Roman" w:hAnsi="Times New Roman" w:cs="Times New Roman"/>
        </w:rPr>
      </w:pPr>
      <w:r w:rsidRPr="00E33828">
        <w:rPr>
          <w:rFonts w:ascii="Times New Roman" w:hAnsi="Times New Roman" w:cs="Times New Roman"/>
        </w:rPr>
        <w:t>Технологический разрыв и «автоматизация хаоса»</w:t>
      </w:r>
    </w:p>
    <w:p w:rsidR="00AA5E7D" w:rsidRPr="0060646A" w:rsidRDefault="00AA5E7D" w:rsidP="00E33828">
      <w:pPr>
        <w:spacing w:before="40" w:after="40" w:line="360" w:lineRule="auto"/>
        <w:ind w:firstLine="709"/>
        <w:jc w:val="both"/>
        <w:rPr>
          <w:rFonts w:ascii="Times New Roman" w:hAnsi="Times New Roman" w:cs="Times New Roman"/>
        </w:rPr>
      </w:pPr>
      <w:r w:rsidRPr="00E33828">
        <w:rPr>
          <w:rFonts w:ascii="Times New Roman" w:hAnsi="Times New Roman" w:cs="Times New Roman"/>
        </w:rPr>
        <w:t>Искусственный интеллект эффективен лишь при наличии структурированных данных, однако государственные информационные системы (ГИС) РФ исторически создавались на разрозненных архитектурах. Отсутствие единых стандартов семантики препятствует созданию межведомственных «озер данных». Система межведомственного электронного взаимодействия (СМЭВ), изначально спроектированная для юридически значимого обмена документами, не адаптирована для передачи массивов Big Data в реальном времени.</w:t>
      </w:r>
      <w:r w:rsidR="0060646A" w:rsidRPr="0060646A">
        <w:rPr>
          <w:rFonts w:ascii="Times New Roman" w:hAnsi="Times New Roman" w:cs="Times New Roman"/>
        </w:rPr>
        <w:t>[3]</w:t>
      </w:r>
      <w:r w:rsidRPr="00E33828">
        <w:rPr>
          <w:rFonts w:ascii="Times New Roman" w:hAnsi="Times New Roman" w:cs="Times New Roman"/>
        </w:rPr>
        <w:t xml:space="preserve"> В результате ведомства вынуждены использовать «костыльные» методы передачи данных, что порождает проблему «грязных данных» (ошибки ввода, дублирование). Исследования показывают, что именно некачественные данные являются причиной краха до 60% проектов внедрения ИИ в госсекторе, когда из-за ошибок разметки в архивах или базах данных автоматизация приводит лишь к масштабированию человеческих ошибок.</w:t>
      </w:r>
      <w:r w:rsidR="0060646A" w:rsidRPr="0060646A">
        <w:rPr>
          <w:rFonts w:ascii="Times New Roman" w:hAnsi="Times New Roman" w:cs="Times New Roman"/>
        </w:rPr>
        <w:t>[4]</w:t>
      </w:r>
    </w:p>
    <w:p w:rsidR="00E33828" w:rsidRPr="00E33828" w:rsidRDefault="00AA5E7D" w:rsidP="00E33828">
      <w:pPr>
        <w:pStyle w:val="a7"/>
        <w:numPr>
          <w:ilvl w:val="0"/>
          <w:numId w:val="2"/>
        </w:numPr>
        <w:spacing w:before="40" w:after="40" w:line="360" w:lineRule="auto"/>
        <w:jc w:val="both"/>
        <w:rPr>
          <w:rFonts w:ascii="Times New Roman" w:hAnsi="Times New Roman" w:cs="Times New Roman"/>
        </w:rPr>
      </w:pPr>
      <w:r w:rsidRPr="00E33828">
        <w:rPr>
          <w:rFonts w:ascii="Times New Roman" w:hAnsi="Times New Roman" w:cs="Times New Roman"/>
        </w:rPr>
        <w:t>Инвестиционный парадокс и риск «двухскоростной» цифровизации</w:t>
      </w:r>
    </w:p>
    <w:p w:rsidR="00AA5E7D" w:rsidRPr="0060646A" w:rsidRDefault="00AA5E7D" w:rsidP="00E33828">
      <w:pPr>
        <w:spacing w:before="40" w:after="40" w:line="360" w:lineRule="auto"/>
        <w:ind w:firstLine="709"/>
        <w:jc w:val="both"/>
        <w:rPr>
          <w:rFonts w:ascii="Times New Roman" w:hAnsi="Times New Roman" w:cs="Times New Roman"/>
        </w:rPr>
      </w:pPr>
      <w:r w:rsidRPr="00E33828">
        <w:rPr>
          <w:rFonts w:ascii="Times New Roman" w:hAnsi="Times New Roman" w:cs="Times New Roman"/>
        </w:rPr>
        <w:t xml:space="preserve">В государственном секторе инвестиции в ИИ не приносят прямой прибыли, их эффект измеряется через </w:t>
      </w:r>
      <w:proofErr w:type="spellStart"/>
      <w:r w:rsidRPr="00E33828">
        <w:rPr>
          <w:rFonts w:ascii="Times New Roman" w:hAnsi="Times New Roman" w:cs="Times New Roman"/>
        </w:rPr>
        <w:t>труднооценимое</w:t>
      </w:r>
      <w:proofErr w:type="spellEnd"/>
      <w:r w:rsidRPr="00E33828">
        <w:rPr>
          <w:rFonts w:ascii="Times New Roman" w:hAnsi="Times New Roman" w:cs="Times New Roman"/>
        </w:rPr>
        <w:t xml:space="preserve"> «общественное благо». При этом капитальные затраты (CAPEX) на закупку GPU и оплату труда дата-инженеров сопоставимы с крупными инфраструктурными проектами. Бюджетная система, ориентированная на покупку «готового продукта», не готова финансировать непрерывный жизненный цикл обучения модели.</w:t>
      </w:r>
      <w:r w:rsidR="0060646A" w:rsidRPr="0060646A">
        <w:rPr>
          <w:rFonts w:ascii="Times New Roman" w:hAnsi="Times New Roman" w:cs="Times New Roman"/>
        </w:rPr>
        <w:t>[2]</w:t>
      </w:r>
      <w:r w:rsidRPr="00E33828">
        <w:rPr>
          <w:rFonts w:ascii="Times New Roman" w:hAnsi="Times New Roman" w:cs="Times New Roman"/>
        </w:rPr>
        <w:t xml:space="preserve"> Более того, дефицит квалифицированных кадров, вызванный неконкурентоспособными зарплатами на госслужбе по сравнению с частным IT-сектором, приводит к зависимости от крупных вендоров (</w:t>
      </w:r>
      <w:proofErr w:type="spellStart"/>
      <w:r w:rsidRPr="00E33828">
        <w:rPr>
          <w:rFonts w:ascii="Times New Roman" w:hAnsi="Times New Roman" w:cs="Times New Roman"/>
        </w:rPr>
        <w:t>Vendor</w:t>
      </w:r>
      <w:proofErr w:type="spellEnd"/>
      <w:r w:rsidRPr="00E33828">
        <w:rPr>
          <w:rFonts w:ascii="Times New Roman" w:hAnsi="Times New Roman" w:cs="Times New Roman"/>
        </w:rPr>
        <w:t xml:space="preserve"> Lock-</w:t>
      </w:r>
      <w:proofErr w:type="spellStart"/>
      <w:r w:rsidRPr="00E33828">
        <w:rPr>
          <w:rFonts w:ascii="Times New Roman" w:hAnsi="Times New Roman" w:cs="Times New Roman"/>
        </w:rPr>
        <w:t>in</w:t>
      </w:r>
      <w:proofErr w:type="spellEnd"/>
      <w:r w:rsidRPr="00E33828">
        <w:rPr>
          <w:rFonts w:ascii="Times New Roman" w:hAnsi="Times New Roman" w:cs="Times New Roman"/>
        </w:rPr>
        <w:t>). Возникает риск цифрового неравенства: богатые регионы-лидеры (Москва, Татарстан) создают собственные интеллектуальные системы, в то время как дотационные субъекты остаются потребителями неадаптированных федеральных «коробочных» решений, что нарушает единство экономического пространства РФ.</w:t>
      </w:r>
      <w:r w:rsidR="0060646A" w:rsidRPr="0060646A">
        <w:rPr>
          <w:rFonts w:ascii="Times New Roman" w:hAnsi="Times New Roman" w:cs="Times New Roman"/>
        </w:rPr>
        <w:t>[3]</w:t>
      </w:r>
    </w:p>
    <w:p w:rsidR="0060646A" w:rsidRDefault="0060646A" w:rsidP="00AA5E7D">
      <w:pPr>
        <w:spacing w:before="40" w:after="40" w:line="360" w:lineRule="auto"/>
        <w:ind w:firstLine="709"/>
        <w:jc w:val="both"/>
        <w:rPr>
          <w:rFonts w:ascii="Times New Roman" w:hAnsi="Times New Roman" w:cs="Times New Roman"/>
          <w:lang w:val="en-US"/>
        </w:rPr>
      </w:pPr>
    </w:p>
    <w:p w:rsidR="0060646A" w:rsidRDefault="0060646A" w:rsidP="00AA5E7D">
      <w:pPr>
        <w:spacing w:before="40" w:after="40" w:line="360" w:lineRule="auto"/>
        <w:ind w:firstLine="709"/>
        <w:jc w:val="both"/>
        <w:rPr>
          <w:rFonts w:ascii="Times New Roman" w:hAnsi="Times New Roman" w:cs="Times New Roman"/>
          <w:lang w:val="en-US"/>
        </w:rPr>
      </w:pPr>
    </w:p>
    <w:p w:rsidR="00E33828" w:rsidRPr="00E33828" w:rsidRDefault="00AA5E7D" w:rsidP="00AA5E7D">
      <w:pPr>
        <w:spacing w:before="40" w:after="40" w:line="360" w:lineRule="auto"/>
        <w:ind w:firstLine="709"/>
        <w:jc w:val="both"/>
        <w:rPr>
          <w:rFonts w:ascii="Times New Roman" w:hAnsi="Times New Roman" w:cs="Times New Roman"/>
        </w:rPr>
      </w:pPr>
      <w:r w:rsidRPr="00E33828">
        <w:rPr>
          <w:rFonts w:ascii="Times New Roman" w:hAnsi="Times New Roman" w:cs="Times New Roman"/>
        </w:rPr>
        <w:lastRenderedPageBreak/>
        <w:t>Заключение</w:t>
      </w:r>
    </w:p>
    <w:p w:rsidR="00AA5E7D" w:rsidRPr="00AA5E7D" w:rsidRDefault="00AA5E7D" w:rsidP="00AA5E7D">
      <w:pPr>
        <w:spacing w:before="40" w:after="40" w:line="360" w:lineRule="auto"/>
        <w:ind w:firstLine="709"/>
        <w:jc w:val="both"/>
        <w:rPr>
          <w:rFonts w:ascii="Times New Roman" w:hAnsi="Times New Roman" w:cs="Times New Roman"/>
        </w:rPr>
      </w:pPr>
      <w:r w:rsidRPr="00AA5E7D">
        <w:rPr>
          <w:rFonts w:ascii="Times New Roman" w:hAnsi="Times New Roman" w:cs="Times New Roman"/>
        </w:rPr>
        <w:t>Масштабирование технологий ИИ в государственном администрировании требует перехода от «лоскутной» автоматизации к системной реформе. Необходимы: адаптация контрактного законодательства под нужды итеративной разработки, внедрение института страхования «алгоритмической ответственности» и создание государственной инфраструктуры для верификации и подготовки данных. Без решения данных проблем ИИ рискует остаться инструментом лишь частичной автоматизации, не достигнув стратегического потенциала цифровой трансформации государства.</w:t>
      </w:r>
    </w:p>
    <w:p w:rsidR="00A76E07" w:rsidRDefault="00A76E07" w:rsidP="00AA5E7D">
      <w:pPr>
        <w:spacing w:before="40" w:after="40" w:line="360" w:lineRule="auto"/>
        <w:ind w:firstLine="709"/>
        <w:jc w:val="both"/>
        <w:rPr>
          <w:rFonts w:ascii="Times New Roman" w:hAnsi="Times New Roman" w:cs="Times New Roman"/>
        </w:rPr>
      </w:pPr>
    </w:p>
    <w:p w:rsidR="00AA5E7D" w:rsidRPr="00A76E07" w:rsidRDefault="00AA5E7D" w:rsidP="00AA5E7D">
      <w:pPr>
        <w:spacing w:before="40" w:after="40" w:line="360" w:lineRule="auto"/>
        <w:ind w:firstLine="709"/>
        <w:jc w:val="both"/>
        <w:rPr>
          <w:rFonts w:ascii="Times New Roman" w:hAnsi="Times New Roman" w:cs="Times New Roman"/>
        </w:rPr>
      </w:pPr>
      <w:r w:rsidRPr="00A76E07">
        <w:rPr>
          <w:rFonts w:ascii="Times New Roman" w:hAnsi="Times New Roman" w:cs="Times New Roman"/>
        </w:rPr>
        <w:t>Список использованных источников:</w:t>
      </w:r>
    </w:p>
    <w:p w:rsidR="00AA5E7D" w:rsidRPr="00AA5E7D" w:rsidRDefault="00AA5E7D" w:rsidP="00AA5E7D">
      <w:pPr>
        <w:numPr>
          <w:ilvl w:val="0"/>
          <w:numId w:val="1"/>
        </w:numPr>
        <w:spacing w:before="40" w:after="40" w:line="360" w:lineRule="auto"/>
        <w:ind w:left="0" w:firstLine="709"/>
        <w:jc w:val="both"/>
        <w:rPr>
          <w:rFonts w:ascii="Times New Roman" w:hAnsi="Times New Roman" w:cs="Times New Roman"/>
        </w:rPr>
      </w:pPr>
      <w:r w:rsidRPr="00AA5E7D">
        <w:rPr>
          <w:rFonts w:ascii="Times New Roman" w:hAnsi="Times New Roman" w:cs="Times New Roman"/>
        </w:rPr>
        <w:t>Указ Президента РФ от 15.02.2024 № 124 «О внесении изменений в Национальную стратегию развития искусственного интеллекта на период до 2030 года».</w:t>
      </w:r>
    </w:p>
    <w:p w:rsidR="00AA5E7D" w:rsidRPr="00AA5E7D" w:rsidRDefault="00AA5E7D" w:rsidP="00AA5E7D">
      <w:pPr>
        <w:numPr>
          <w:ilvl w:val="0"/>
          <w:numId w:val="1"/>
        </w:numPr>
        <w:spacing w:before="40" w:after="40" w:line="360" w:lineRule="auto"/>
        <w:ind w:left="0" w:firstLine="709"/>
        <w:jc w:val="both"/>
        <w:rPr>
          <w:rFonts w:ascii="Times New Roman" w:hAnsi="Times New Roman" w:cs="Times New Roman"/>
        </w:rPr>
      </w:pPr>
      <w:r w:rsidRPr="00AA5E7D">
        <w:rPr>
          <w:rFonts w:ascii="Times New Roman" w:hAnsi="Times New Roman" w:cs="Times New Roman"/>
        </w:rPr>
        <w:t>Добролюбова Е. И., Южаков В. Н., Ефремов А. А. Цифровая трансформация государственного управления: возможности и риски внедрения искусственного интеллекта // Государство и право. — 2023. — № 5. — С. 45–58.</w:t>
      </w:r>
    </w:p>
    <w:p w:rsidR="00AA5E7D" w:rsidRPr="00AA5E7D" w:rsidRDefault="00AA5E7D" w:rsidP="00AA5E7D">
      <w:pPr>
        <w:numPr>
          <w:ilvl w:val="0"/>
          <w:numId w:val="1"/>
        </w:numPr>
        <w:spacing w:before="40" w:after="40" w:line="360" w:lineRule="auto"/>
        <w:ind w:left="0" w:firstLine="709"/>
        <w:jc w:val="both"/>
        <w:rPr>
          <w:rFonts w:ascii="Times New Roman" w:hAnsi="Times New Roman" w:cs="Times New Roman"/>
        </w:rPr>
      </w:pPr>
      <w:r w:rsidRPr="00AA5E7D">
        <w:rPr>
          <w:rFonts w:ascii="Times New Roman" w:hAnsi="Times New Roman" w:cs="Times New Roman"/>
        </w:rPr>
        <w:t>НИУ ВШЭ, Институт статистических исследований и экономики знаний. Аналитический отчет: «Искусственный интеллект в государственном секторе: состояние и барьеры внедрения», 2025.</w:t>
      </w:r>
    </w:p>
    <w:p w:rsidR="00AA5E7D" w:rsidRPr="00AA5E7D" w:rsidRDefault="00AA5E7D" w:rsidP="00AA5E7D">
      <w:pPr>
        <w:numPr>
          <w:ilvl w:val="0"/>
          <w:numId w:val="1"/>
        </w:numPr>
        <w:spacing w:before="40" w:after="40" w:line="360" w:lineRule="auto"/>
        <w:ind w:left="0" w:firstLine="709"/>
        <w:jc w:val="both"/>
        <w:rPr>
          <w:rFonts w:ascii="Times New Roman" w:hAnsi="Times New Roman" w:cs="Times New Roman"/>
        </w:rPr>
      </w:pPr>
      <w:r w:rsidRPr="00AA5E7D">
        <w:rPr>
          <w:rFonts w:ascii="Times New Roman" w:hAnsi="Times New Roman" w:cs="Times New Roman"/>
        </w:rPr>
        <w:t>Счетная палата Российской Федерации. Бюллетень № 7 (314): «Оценка эффективности реализации мероприятий по развитию цифровой экономики в органах государственной власти», 2024.</w:t>
      </w:r>
    </w:p>
    <w:p w:rsidR="00A207FA" w:rsidRPr="00AA5E7D" w:rsidRDefault="00A207FA" w:rsidP="00AA5E7D">
      <w:pPr>
        <w:spacing w:before="40" w:after="40" w:line="360" w:lineRule="auto"/>
        <w:ind w:firstLine="709"/>
        <w:jc w:val="both"/>
        <w:rPr>
          <w:rFonts w:ascii="Times New Roman" w:hAnsi="Times New Roman" w:cs="Times New Roman"/>
        </w:rPr>
      </w:pPr>
    </w:p>
    <w:sectPr w:rsidR="00A207FA" w:rsidRPr="00AA5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Заголовки (сло">
    <w:panose1 w:val="020B0604020202020204"/>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2B9"/>
    <w:multiLevelType w:val="hybridMultilevel"/>
    <w:tmpl w:val="E0B04956"/>
    <w:lvl w:ilvl="0" w:tplc="7084F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6276E0"/>
    <w:multiLevelType w:val="hybridMultilevel"/>
    <w:tmpl w:val="D776620E"/>
    <w:lvl w:ilvl="0" w:tplc="4F4A4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2A1D1E"/>
    <w:multiLevelType w:val="multilevel"/>
    <w:tmpl w:val="99247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852325">
    <w:abstractNumId w:val="2"/>
  </w:num>
  <w:num w:numId="2" w16cid:durableId="656881571">
    <w:abstractNumId w:val="1"/>
  </w:num>
  <w:num w:numId="3" w16cid:durableId="208695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7D"/>
    <w:rsid w:val="001D2723"/>
    <w:rsid w:val="00427DED"/>
    <w:rsid w:val="0060646A"/>
    <w:rsid w:val="00A207FA"/>
    <w:rsid w:val="00A76E07"/>
    <w:rsid w:val="00AA5E7D"/>
    <w:rsid w:val="00AC288A"/>
    <w:rsid w:val="00E33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AC88"/>
  <w15:chartTrackingRefBased/>
  <w15:docId w15:val="{E84CC29A-73B0-C842-88E7-CCE5C70A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A207FA"/>
    <w:pPr>
      <w:keepNext/>
      <w:keepLines/>
      <w:spacing w:before="40" w:after="40" w:line="360" w:lineRule="auto"/>
      <w:ind w:firstLine="709"/>
      <w:jc w:val="both"/>
      <w:outlineLvl w:val="0"/>
    </w:pPr>
    <w:rPr>
      <w:rFonts w:ascii="Times New Roman" w:eastAsiaTheme="majorEastAsia" w:hAnsi="Times New Roman" w:cs="Times New Roman (Заголовки (сло"/>
      <w:caps/>
      <w:color w:val="000000" w:themeColor="text1"/>
      <w:kern w:val="0"/>
      <w:szCs w:val="40"/>
      <w:lang w:eastAsia="ru-RU"/>
      <w14:ligatures w14:val="none"/>
    </w:rPr>
  </w:style>
  <w:style w:type="paragraph" w:styleId="2">
    <w:name w:val="heading 2"/>
    <w:basedOn w:val="a"/>
    <w:next w:val="a"/>
    <w:link w:val="20"/>
    <w:autoRedefine/>
    <w:uiPriority w:val="9"/>
    <w:semiHidden/>
    <w:unhideWhenUsed/>
    <w:qFormat/>
    <w:rsid w:val="00A207FA"/>
    <w:pPr>
      <w:keepNext/>
      <w:keepLines/>
      <w:spacing w:before="40" w:after="40" w:line="360" w:lineRule="auto"/>
      <w:ind w:firstLine="709"/>
      <w:jc w:val="both"/>
      <w:outlineLvl w:val="1"/>
    </w:pPr>
    <w:rPr>
      <w:rFonts w:ascii="Times New Roman" w:eastAsiaTheme="majorEastAsia" w:hAnsi="Times New Roman" w:cstheme="majorBidi"/>
      <w:color w:val="000000" w:themeColor="text1"/>
      <w:kern w:val="0"/>
      <w:szCs w:val="32"/>
      <w:lang w:eastAsia="ru-RU"/>
      <w14:ligatures w14:val="none"/>
    </w:rPr>
  </w:style>
  <w:style w:type="paragraph" w:styleId="3">
    <w:name w:val="heading 3"/>
    <w:basedOn w:val="a"/>
    <w:next w:val="a"/>
    <w:link w:val="30"/>
    <w:uiPriority w:val="9"/>
    <w:semiHidden/>
    <w:unhideWhenUsed/>
    <w:qFormat/>
    <w:rsid w:val="00AA5E7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5E7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5E7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5E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5E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5E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5E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07FA"/>
    <w:rPr>
      <w:rFonts w:ascii="Times New Roman" w:eastAsiaTheme="majorEastAsia" w:hAnsi="Times New Roman" w:cs="Times New Roman (Заголовки (сло"/>
      <w:caps/>
      <w:color w:val="000000" w:themeColor="text1"/>
      <w:kern w:val="0"/>
      <w:szCs w:val="40"/>
      <w:lang w:eastAsia="ru-RU"/>
      <w14:ligatures w14:val="none"/>
    </w:rPr>
  </w:style>
  <w:style w:type="character" w:customStyle="1" w:styleId="20">
    <w:name w:val="Заголовок 2 Знак"/>
    <w:basedOn w:val="a0"/>
    <w:link w:val="2"/>
    <w:uiPriority w:val="9"/>
    <w:semiHidden/>
    <w:rsid w:val="00A207FA"/>
    <w:rPr>
      <w:rFonts w:ascii="Times New Roman" w:eastAsiaTheme="majorEastAsia" w:hAnsi="Times New Roman" w:cstheme="majorBidi"/>
      <w:color w:val="000000" w:themeColor="text1"/>
      <w:kern w:val="0"/>
      <w:szCs w:val="32"/>
      <w:lang w:eastAsia="ru-RU"/>
      <w14:ligatures w14:val="none"/>
    </w:rPr>
  </w:style>
  <w:style w:type="character" w:customStyle="1" w:styleId="30">
    <w:name w:val="Заголовок 3 Знак"/>
    <w:basedOn w:val="a0"/>
    <w:link w:val="3"/>
    <w:uiPriority w:val="9"/>
    <w:semiHidden/>
    <w:rsid w:val="00AA5E7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5E7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5E7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5E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5E7D"/>
    <w:rPr>
      <w:rFonts w:eastAsiaTheme="majorEastAsia" w:cstheme="majorBidi"/>
      <w:color w:val="595959" w:themeColor="text1" w:themeTint="A6"/>
    </w:rPr>
  </w:style>
  <w:style w:type="character" w:customStyle="1" w:styleId="80">
    <w:name w:val="Заголовок 8 Знак"/>
    <w:basedOn w:val="a0"/>
    <w:link w:val="8"/>
    <w:uiPriority w:val="9"/>
    <w:semiHidden/>
    <w:rsid w:val="00AA5E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5E7D"/>
    <w:rPr>
      <w:rFonts w:eastAsiaTheme="majorEastAsia" w:cstheme="majorBidi"/>
      <w:color w:val="272727" w:themeColor="text1" w:themeTint="D8"/>
    </w:rPr>
  </w:style>
  <w:style w:type="paragraph" w:styleId="a3">
    <w:name w:val="Title"/>
    <w:basedOn w:val="a"/>
    <w:next w:val="a"/>
    <w:link w:val="a4"/>
    <w:uiPriority w:val="10"/>
    <w:qFormat/>
    <w:rsid w:val="00AA5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5E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E7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5E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5E7D"/>
    <w:pPr>
      <w:spacing w:before="160"/>
      <w:jc w:val="center"/>
    </w:pPr>
    <w:rPr>
      <w:i/>
      <w:iCs/>
      <w:color w:val="404040" w:themeColor="text1" w:themeTint="BF"/>
    </w:rPr>
  </w:style>
  <w:style w:type="character" w:customStyle="1" w:styleId="22">
    <w:name w:val="Цитата 2 Знак"/>
    <w:basedOn w:val="a0"/>
    <w:link w:val="21"/>
    <w:uiPriority w:val="29"/>
    <w:rsid w:val="00AA5E7D"/>
    <w:rPr>
      <w:i/>
      <w:iCs/>
      <w:color w:val="404040" w:themeColor="text1" w:themeTint="BF"/>
    </w:rPr>
  </w:style>
  <w:style w:type="paragraph" w:styleId="a7">
    <w:name w:val="List Paragraph"/>
    <w:basedOn w:val="a"/>
    <w:uiPriority w:val="34"/>
    <w:qFormat/>
    <w:rsid w:val="00AA5E7D"/>
    <w:pPr>
      <w:ind w:left="720"/>
      <w:contextualSpacing/>
    </w:pPr>
  </w:style>
  <w:style w:type="character" w:styleId="a8">
    <w:name w:val="Intense Emphasis"/>
    <w:basedOn w:val="a0"/>
    <w:uiPriority w:val="21"/>
    <w:qFormat/>
    <w:rsid w:val="00AA5E7D"/>
    <w:rPr>
      <w:i/>
      <w:iCs/>
      <w:color w:val="2F5496" w:themeColor="accent1" w:themeShade="BF"/>
    </w:rPr>
  </w:style>
  <w:style w:type="paragraph" w:styleId="a9">
    <w:name w:val="Intense Quote"/>
    <w:basedOn w:val="a"/>
    <w:next w:val="a"/>
    <w:link w:val="aa"/>
    <w:uiPriority w:val="30"/>
    <w:qFormat/>
    <w:rsid w:val="00AA5E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5E7D"/>
    <w:rPr>
      <w:i/>
      <w:iCs/>
      <w:color w:val="2F5496" w:themeColor="accent1" w:themeShade="BF"/>
    </w:rPr>
  </w:style>
  <w:style w:type="character" w:styleId="ab">
    <w:name w:val="Intense Reference"/>
    <w:basedOn w:val="a0"/>
    <w:uiPriority w:val="32"/>
    <w:qFormat/>
    <w:rsid w:val="00AA5E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2026-03-23T07:02:00Z</dcterms:created>
  <dcterms:modified xsi:type="dcterms:W3CDTF">2026-03-23T09:47:00Z</dcterms:modified>
</cp:coreProperties>
</file>