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38FD" w14:textId="77777777" w:rsidR="00CF5ECD" w:rsidRDefault="00374CF7">
      <w:pPr>
        <w:ind w:firstLine="709"/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Эконометрический анализ макроэкономических факторов, влияющих на динамику инфляционных процессов в России</w:t>
      </w:r>
    </w:p>
    <w:p w14:paraId="6B3FFFA8" w14:textId="77777777" w:rsidR="00CF5ECD" w:rsidRDefault="00CF5ECD">
      <w:pPr>
        <w:ind w:firstLine="709"/>
        <w:jc w:val="center"/>
        <w:rPr>
          <w:rFonts w:ascii="Times New Roman Regular" w:hAnsi="Times New Roman Regular"/>
          <w:sz w:val="24"/>
          <w:szCs w:val="24"/>
          <w:lang w:val="ru-RU"/>
        </w:rPr>
      </w:pPr>
    </w:p>
    <w:p w14:paraId="030F2241" w14:textId="77777777" w:rsidR="00CF5ECD" w:rsidRDefault="00374CF7">
      <w:pPr>
        <w:ind w:firstLine="709"/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4"/>
          <w:szCs w:val="24"/>
          <w:lang w:val="ru-RU"/>
        </w:rPr>
        <w:t>Пеньковская Софья Денисовна</w:t>
      </w:r>
    </w:p>
    <w:p w14:paraId="7CA1CC76" w14:textId="77777777" w:rsidR="00CF5ECD" w:rsidRDefault="00374CF7">
      <w:pPr>
        <w:ind w:firstLine="709"/>
        <w:jc w:val="center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Студент</w:t>
      </w:r>
    </w:p>
    <w:p w14:paraId="2385B511" w14:textId="77777777" w:rsidR="00CF5ECD" w:rsidRDefault="00374CF7">
      <w:pPr>
        <w:ind w:firstLine="709"/>
        <w:jc w:val="center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Филиал Московского государственного университета имени М.В. Ломоносова в г. Севастополе, г. Севастополь</w:t>
      </w:r>
    </w:p>
    <w:p w14:paraId="05BA9375" w14:textId="77777777" w:rsidR="00CF5ECD" w:rsidRPr="00374CF7" w:rsidRDefault="00374CF7">
      <w:pPr>
        <w:ind w:firstLine="709"/>
        <w:jc w:val="center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</w:rPr>
        <w:t>E</w:t>
      </w:r>
      <w:r w:rsidRPr="00374CF7"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-</w:t>
      </w:r>
      <w:r>
        <w:rPr>
          <w:rFonts w:ascii="Times New Roman Italic" w:hAnsi="Times New Roman Italic" w:cs="Times New Roman Italic"/>
          <w:i/>
          <w:iCs/>
          <w:sz w:val="24"/>
          <w:szCs w:val="24"/>
        </w:rPr>
        <w:t>mail</w:t>
      </w:r>
      <w:r w:rsidRPr="00374CF7"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szCs w:val="24"/>
        </w:rPr>
        <w:t>sofiacrimia</w:t>
      </w:r>
      <w:proofErr w:type="spellEnd"/>
      <w:r w:rsidRPr="00374CF7"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@</w:t>
      </w:r>
      <w:r>
        <w:rPr>
          <w:rFonts w:ascii="Times New Roman Italic" w:hAnsi="Times New Roman Italic" w:cs="Times New Roman Italic"/>
          <w:i/>
          <w:iCs/>
          <w:sz w:val="24"/>
          <w:szCs w:val="24"/>
        </w:rPr>
        <w:t>mail</w:t>
      </w:r>
      <w:r w:rsidRPr="00374CF7"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t>.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szCs w:val="24"/>
        </w:rPr>
        <w:t>ru</w:t>
      </w:r>
      <w:proofErr w:type="spellEnd"/>
    </w:p>
    <w:p w14:paraId="067D6B04" w14:textId="77777777" w:rsidR="00CF5ECD" w:rsidRDefault="00CF5ECD">
      <w:pPr>
        <w:jc w:val="both"/>
        <w:rPr>
          <w:rFonts w:ascii="Times New Roman Italic" w:hAnsi="Times New Roman Italic"/>
          <w:i/>
          <w:iCs/>
          <w:sz w:val="24"/>
          <w:szCs w:val="24"/>
          <w:lang w:val="ru-RU"/>
        </w:rPr>
      </w:pPr>
    </w:p>
    <w:p w14:paraId="3E134382" w14:textId="77777777" w:rsidR="00CF5ECD" w:rsidRPr="00374CF7" w:rsidRDefault="00374CF7">
      <w:pPr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 xml:space="preserve">Необходимым условием обеспечения устойчивого экономического роста является стабильность денежного обращения 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>[1]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. </w:t>
      </w:r>
      <w:r w:rsidRPr="00374CF7">
        <w:rPr>
          <w:rFonts w:ascii="Times New Roman" w:hAnsi="Times New Roman"/>
          <w:sz w:val="24"/>
          <w:szCs w:val="24"/>
          <w:lang w:val="ru-RU"/>
        </w:rPr>
        <w:t xml:space="preserve">Именно </w:t>
      </w:r>
      <w:r>
        <w:rPr>
          <w:rFonts w:ascii="Times New Roman" w:hAnsi="Times New Roman"/>
          <w:sz w:val="24"/>
          <w:szCs w:val="24"/>
          <w:lang w:val="ru-RU"/>
        </w:rPr>
        <w:t xml:space="preserve">поэтому </w:t>
      </w:r>
      <w:r w:rsidRPr="00374CF7">
        <w:rPr>
          <w:rFonts w:ascii="Times New Roman" w:hAnsi="Times New Roman"/>
          <w:sz w:val="24"/>
          <w:szCs w:val="24"/>
          <w:lang w:val="ru-RU"/>
        </w:rPr>
        <w:t xml:space="preserve">необходимость выявления и сдерживания </w:t>
      </w:r>
      <w:proofErr w:type="spellStart"/>
      <w:r w:rsidRPr="00374CF7">
        <w:rPr>
          <w:rFonts w:ascii="Times New Roman" w:hAnsi="Times New Roman"/>
          <w:sz w:val="24"/>
          <w:szCs w:val="24"/>
          <w:lang w:val="ru-RU"/>
        </w:rPr>
        <w:t>проинфляционных</w:t>
      </w:r>
      <w:proofErr w:type="spellEnd"/>
      <w:r w:rsidRPr="00374CF7">
        <w:rPr>
          <w:rFonts w:ascii="Times New Roman" w:hAnsi="Times New Roman"/>
          <w:sz w:val="24"/>
          <w:szCs w:val="24"/>
          <w:lang w:val="ru-RU"/>
        </w:rPr>
        <w:t xml:space="preserve"> факторов в российской экономике определяет </w:t>
      </w:r>
      <w:r w:rsidRPr="00374CF7">
        <w:rPr>
          <w:rFonts w:ascii="Times New Roman" w:hAnsi="Times New Roman"/>
          <w:sz w:val="24"/>
          <w:szCs w:val="24"/>
          <w:lang w:val="ru-RU"/>
        </w:rPr>
        <w:t>востребованность и актуальность исследуемой темы.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вышеобозначенной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задачи авторами на основе изучения макроэкономических показателей  в 85 субъектах РФ в период с </w:t>
      </w:r>
      <w:r>
        <w:rPr>
          <w:rFonts w:ascii="Times New Roman" w:hAnsi="Times New Roman" w:cs="Times New Roman"/>
          <w:sz w:val="24"/>
          <w:szCs w:val="24"/>
          <w:lang w:val="ru-RU"/>
        </w:rPr>
        <w:t>2016 по 2023 гг. включительно была построена эконометрическая модель зависимос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 индекса потребительских цен от целого ряда регрессоров: </w:t>
      </w:r>
      <w:r>
        <w:rPr>
          <w:rFonts w:ascii=".AppleSystemUIFont" w:eastAsia=".AppleSystemUIFont" w:hAnsi=".AppleSystemUIFont" w:cs=".AppleSystemUIFont"/>
          <w:sz w:val="24"/>
          <w:szCs w:val="24"/>
          <w:lang w:val="ru-RU"/>
        </w:rPr>
        <w:t>п</w:t>
      </w:r>
      <w:r>
        <w:rPr>
          <w:rFonts w:ascii="Times New Roman Regular" w:hAnsi="Times New Roman Regular"/>
          <w:sz w:val="24"/>
          <w:szCs w:val="24"/>
          <w:lang w:val="ru-RU"/>
        </w:rPr>
        <w:t>отребительские расходы на душу населения (</w:t>
      </w:r>
      <w:r>
        <w:rPr>
          <w:rFonts w:ascii="Times New Roman Regular" w:hAnsi="Times New Roman Regular"/>
          <w:sz w:val="24"/>
          <w:szCs w:val="24"/>
        </w:rPr>
        <w:t>CE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), </w:t>
      </w:r>
      <w:r>
        <w:rPr>
          <w:rFonts w:ascii="Times New Roman" w:eastAsia=".AppleSystemUIFont" w:hAnsi="Times New Roman" w:cs="Times New Roman"/>
          <w:sz w:val="24"/>
          <w:szCs w:val="24"/>
          <w:lang w:val="ru-RU"/>
        </w:rPr>
        <w:t>расходы инсталлированных бюджетов субъектов РФ (</w:t>
      </w:r>
      <w:r>
        <w:rPr>
          <w:rFonts w:ascii="Times New Roman" w:eastAsia=".AppleSystemUIFont" w:hAnsi="Times New Roman" w:cs="Times New Roman"/>
          <w:sz w:val="24"/>
          <w:szCs w:val="24"/>
        </w:rPr>
        <w:t>GE</w:t>
      </w:r>
      <w:r>
        <w:rPr>
          <w:rFonts w:ascii="Times New Roman" w:eastAsia=".AppleSystemUIFont" w:hAnsi="Times New Roman" w:cs="Times New Roman"/>
          <w:sz w:val="24"/>
          <w:szCs w:val="24"/>
          <w:lang w:val="ru-RU"/>
        </w:rPr>
        <w:t>), объем привлеченных депозитов физических и юридических лиц (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.AppleSystemUIFont" w:hAnsi="Times New Roman" w:cs="Times New Roman"/>
          <w:sz w:val="24"/>
          <w:szCs w:val="24"/>
          <w:lang w:val="ru-RU"/>
        </w:rPr>
        <w:t>среднемесячная начисленная зарабо</w:t>
      </w:r>
      <w:r>
        <w:rPr>
          <w:rFonts w:ascii="Times New Roman" w:eastAsia=".AppleSystemUIFont" w:hAnsi="Times New Roman" w:cs="Times New Roman"/>
          <w:sz w:val="24"/>
          <w:szCs w:val="24"/>
          <w:lang w:val="ru-RU"/>
        </w:rPr>
        <w:t>тная плата работников организаций (</w:t>
      </w:r>
      <w:r>
        <w:rPr>
          <w:rFonts w:ascii="Times New Roman" w:hAnsi="Times New Roman" w:cs="Times New Roman"/>
          <w:sz w:val="24"/>
          <w:szCs w:val="24"/>
        </w:rPr>
        <w:t>Wage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 Regular" w:hAnsi="Times New Roman Regular"/>
          <w:sz w:val="24"/>
          <w:szCs w:val="24"/>
          <w:lang w:val="ru-RU"/>
        </w:rPr>
        <w:t>средняя себестоимость добычи нефти в России (</w:t>
      </w: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Oil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>), индекс тарифов на грузовые перевозки (</w:t>
      </w: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Ict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 xml:space="preserve">), индексы производительности труда (PC), средневзвешенный </w:t>
      </w:r>
      <w:proofErr w:type="gramStart"/>
      <w:r>
        <w:rPr>
          <w:rFonts w:ascii="Times New Roman Regular" w:hAnsi="Times New Roman Regular"/>
          <w:sz w:val="24"/>
          <w:szCs w:val="24"/>
          <w:lang w:val="ru-RU"/>
        </w:rPr>
        <w:t>обменный  курс</w:t>
      </w:r>
      <w:proofErr w:type="gramEnd"/>
      <w:r>
        <w:rPr>
          <w:rFonts w:ascii="Times New Roman Regular" w:hAnsi="Times New Roman Regular"/>
          <w:sz w:val="24"/>
          <w:szCs w:val="24"/>
          <w:lang w:val="ru-RU"/>
        </w:rPr>
        <w:t xml:space="preserve"> доллар США/рубль за год (EX), денежная база (MB)</w:t>
      </w:r>
      <w:r>
        <w:rPr>
          <w:rFonts w:ascii="Times New Roman Regular" w:hAnsi="Times New Roman Regular"/>
          <w:sz w:val="24"/>
          <w:szCs w:val="24"/>
          <w:lang w:val="ru-RU"/>
        </w:rPr>
        <w:t>.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/>
          <w:sz w:val="24"/>
          <w:szCs w:val="24"/>
          <w:lang w:val="ru-RU"/>
        </w:rPr>
        <w:t>В качестве источников данных выступили материалы Федеральной службы государственной статистики, Центрального банка РФ [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>3-4</w:t>
      </w:r>
      <w:r>
        <w:rPr>
          <w:rFonts w:ascii="Times New Roman Regular" w:hAnsi="Times New Roman Regular"/>
          <w:sz w:val="24"/>
          <w:szCs w:val="24"/>
          <w:lang w:val="ru-RU"/>
        </w:rPr>
        <w:t>]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>.</w:t>
      </w:r>
    </w:p>
    <w:p w14:paraId="6B1B2038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 xml:space="preserve">Для учета гетерогенности развития регионов был использован 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кластерный </w:t>
      </w:r>
      <w:proofErr w:type="gramStart"/>
      <w:r>
        <w:rPr>
          <w:rFonts w:ascii="Times New Roman Regular" w:hAnsi="Times New Roman Regular"/>
          <w:sz w:val="24"/>
          <w:szCs w:val="24"/>
          <w:lang w:val="ru-RU"/>
        </w:rPr>
        <w:t>анализ,  который</w:t>
      </w:r>
      <w:proofErr w:type="gramEnd"/>
      <w:r>
        <w:rPr>
          <w:rFonts w:ascii="Times New Roman Regular" w:hAnsi="Times New Roman Regular"/>
          <w:sz w:val="24"/>
          <w:szCs w:val="24"/>
          <w:lang w:val="ru-RU"/>
        </w:rPr>
        <w:t xml:space="preserve"> подразумевает разделение субъектов РФ на несколько групп 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в зависимости от уровня экономического развития 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>[2,6]</w:t>
      </w:r>
      <w:r>
        <w:rPr>
          <w:rFonts w:ascii="Times New Roman Regular" w:hAnsi="Times New Roman Regular"/>
          <w:sz w:val="24"/>
          <w:szCs w:val="24"/>
          <w:lang w:val="ru-RU"/>
        </w:rPr>
        <w:t>.</w:t>
      </w:r>
    </w:p>
    <w:p w14:paraId="4E62477A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В результате, алгоритм сформировал четыре кластера (0,1,2,3) по близости макроэкономических профилей, при этом в тре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тий кластер вошел один субъект </w:t>
      </w:r>
      <w:r>
        <w:rPr>
          <w:rFonts w:ascii=".AppleSystemUIFont" w:eastAsia=".AppleSystemUIFont" w:hAnsi=".AppleSystemUIFont" w:cs=".AppleSystemUIFont" w:hint="eastAsia"/>
          <w:sz w:val="24"/>
          <w:szCs w:val="24"/>
          <w:lang w:val="ru-RU"/>
        </w:rPr>
        <w:t>─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 город федерального значения Москва, что объясняется значительно более высокими показателями в сравнении с остальными регионами.</w:t>
      </w:r>
    </w:p>
    <w:p w14:paraId="5031133B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Кластер 0 включает в себя 34 региона. А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лгоритм объединил их вследствие: умеренных темпов роста </w:t>
      </w:r>
      <w:r>
        <w:rPr>
          <w:rFonts w:ascii="Times New Roman Regular" w:hAnsi="Times New Roman Regular"/>
          <w:sz w:val="24"/>
          <w:szCs w:val="24"/>
          <w:lang w:val="ru-RU"/>
        </w:rPr>
        <w:t>доходов и заработной платы, средней бюджетной нагрузки, сбалансированной структуры потребления, отсутствия экстремальных значений по издержкам и логистике. Данный кластер выступает «базовой» группой, отражающей усредненный инфляционный механизм.</w:t>
      </w:r>
    </w:p>
    <w:p w14:paraId="1E7EEFB4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 xml:space="preserve">Кластер 1 </w:t>
      </w:r>
      <w:r>
        <w:rPr>
          <w:rFonts w:ascii="Times New Roman Regular" w:hAnsi="Times New Roman Regular"/>
          <w:sz w:val="24"/>
          <w:szCs w:val="24"/>
          <w:lang w:val="ru-RU"/>
        </w:rPr>
        <w:t>состоит из 10 субъектов. Их сближение в пространстве главных компонент объясняется: высокими уровнями номинальных доходов и заработной платы и значительными бюджетными расходами на душу населения. Для этих территорий характерна повышенная инфляция. Регионы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 показывают достаточно высокую инфляцию, часто из-за стоимости логистики.</w:t>
      </w:r>
    </w:p>
    <w:p w14:paraId="611AA7C8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Кластер 2 является самым многочисленным (40 регионов). Их объединяют: более низкая налоговая и доходная база, высокая доля трансфертов, ограниченные собственные бюджетные возможности</w:t>
      </w:r>
      <w:r>
        <w:rPr>
          <w:rFonts w:ascii="Times New Roman Regular" w:hAnsi="Times New Roman Regular"/>
          <w:sz w:val="24"/>
          <w:szCs w:val="24"/>
          <w:lang w:val="ru-RU"/>
        </w:rPr>
        <w:t>, повышенная волатильность ценовой динамики.</w:t>
      </w:r>
    </w:p>
    <w:p w14:paraId="491FC061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Таким образом, итоговым результатом исследования стали четыре регрессионные модели: одна – демонстрирует зависимость в масштабе Российской Федерации и три модели, которые применимы для анализа инфляционных проце</w:t>
      </w:r>
      <w:r>
        <w:rPr>
          <w:rFonts w:ascii="Times New Roman Regular" w:hAnsi="Times New Roman Regular"/>
          <w:sz w:val="24"/>
          <w:szCs w:val="24"/>
          <w:lang w:val="ru-RU"/>
        </w:rPr>
        <w:t>ссов в региональных кластерах.</w:t>
      </w:r>
    </w:p>
    <w:p w14:paraId="305A3F66" w14:textId="5AB622FD" w:rsidR="00CF5ECD" w:rsidRDefault="00374CF7">
      <w:pPr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Результаты оценки представлены в табл.</w:t>
      </w: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1.</w:t>
      </w:r>
    </w:p>
    <w:p w14:paraId="6F00923A" w14:textId="77777777" w:rsidR="00CF5ECD" w:rsidRDefault="00CF5ECD">
      <w:pPr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7F4DBC6C" w14:textId="77777777" w:rsidR="00CF5ECD" w:rsidRDefault="00CF5ECD">
      <w:pPr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34F2EF4F" w14:textId="77777777" w:rsidR="00374CF7" w:rsidRDefault="00374CF7">
      <w:pPr>
        <w:ind w:firstLine="397"/>
        <w:jc w:val="right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</w:p>
    <w:p w14:paraId="34D54176" w14:textId="5B966D7B" w:rsidR="00CF5ECD" w:rsidRDefault="00374CF7">
      <w:pPr>
        <w:ind w:firstLine="397"/>
        <w:jc w:val="right"/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szCs w:val="24"/>
          <w:lang w:val="ru-RU"/>
        </w:rPr>
        <w:lastRenderedPageBreak/>
        <w:t>Таблица 1</w:t>
      </w:r>
    </w:p>
    <w:p w14:paraId="51C65697" w14:textId="77777777" w:rsidR="00CF5ECD" w:rsidRDefault="00374CF7">
      <w:pPr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Результаты оценивания моделей</w:t>
      </w:r>
    </w:p>
    <w:p w14:paraId="49722DFA" w14:textId="77777777" w:rsidR="00CF5ECD" w:rsidRDefault="00374CF7">
      <w:pPr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(составлено авторами)</w:t>
      </w:r>
    </w:p>
    <w:tbl>
      <w:tblPr>
        <w:tblStyle w:val="affd"/>
        <w:tblpPr w:leftFromText="180" w:rightFromText="180" w:vertAnchor="text" w:horzAnchor="page" w:tblpX="1489" w:tblpY="118"/>
        <w:tblOverlap w:val="never"/>
        <w:tblW w:w="9160" w:type="dxa"/>
        <w:tblLook w:val="04A0" w:firstRow="1" w:lastRow="0" w:firstColumn="1" w:lastColumn="0" w:noHBand="0" w:noVBand="1"/>
      </w:tblPr>
      <w:tblGrid>
        <w:gridCol w:w="1530"/>
        <w:gridCol w:w="2006"/>
        <w:gridCol w:w="1809"/>
        <w:gridCol w:w="1809"/>
        <w:gridCol w:w="2006"/>
      </w:tblGrid>
      <w:tr w:rsidR="00CF5ECD" w14:paraId="52206DED" w14:textId="77777777">
        <w:trPr>
          <w:trHeight w:val="290"/>
        </w:trPr>
        <w:tc>
          <w:tcPr>
            <w:tcW w:w="1530" w:type="dxa"/>
            <w:vMerge w:val="restart"/>
          </w:tcPr>
          <w:p w14:paraId="748EBB74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Переменная</w:t>
            </w:r>
          </w:p>
        </w:tc>
        <w:tc>
          <w:tcPr>
            <w:tcW w:w="7630" w:type="dxa"/>
            <w:gridSpan w:val="4"/>
          </w:tcPr>
          <w:p w14:paraId="2AFB59EF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Коэффициенты</w:t>
            </w:r>
          </w:p>
        </w:tc>
      </w:tr>
      <w:tr w:rsidR="00CF5ECD" w14:paraId="1970C433" w14:textId="77777777">
        <w:trPr>
          <w:trHeight w:val="290"/>
        </w:trPr>
        <w:tc>
          <w:tcPr>
            <w:tcW w:w="1530" w:type="dxa"/>
            <w:vMerge/>
          </w:tcPr>
          <w:p w14:paraId="540EC8DB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14:paraId="366CD3A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Кластер 0</w:t>
            </w:r>
          </w:p>
        </w:tc>
        <w:tc>
          <w:tcPr>
            <w:tcW w:w="1809" w:type="dxa"/>
          </w:tcPr>
          <w:p w14:paraId="43521550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Кластер 1</w:t>
            </w:r>
          </w:p>
        </w:tc>
        <w:tc>
          <w:tcPr>
            <w:tcW w:w="1809" w:type="dxa"/>
          </w:tcPr>
          <w:p w14:paraId="4BF01CF2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Кластер 2</w:t>
            </w:r>
          </w:p>
        </w:tc>
        <w:tc>
          <w:tcPr>
            <w:tcW w:w="2006" w:type="dxa"/>
          </w:tcPr>
          <w:p w14:paraId="297F7FEE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  <w:t>Россия</w:t>
            </w:r>
          </w:p>
        </w:tc>
      </w:tr>
      <w:tr w:rsidR="00CF5ECD" w14:paraId="52953C0A" w14:textId="77777777">
        <w:trPr>
          <w:trHeight w:val="475"/>
        </w:trPr>
        <w:tc>
          <w:tcPr>
            <w:tcW w:w="1530" w:type="dxa"/>
          </w:tcPr>
          <w:p w14:paraId="357D0A02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CE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29B0F28E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0,21</w:t>
            </w:r>
          </w:p>
          <w:p w14:paraId="4C609E57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DejaVu Math TeX Gyre" w:hAnsi="DejaVu Math TeX Gyre" w:cs="Times New Roman Regular"/>
                        <w:i/>
                        <w:sz w:val="16"/>
                        <w:szCs w:val="16"/>
                        <w:lang w:val="ru-RU"/>
                      </w:rPr>
                    </m:ctrlPr>
                  </m:sSupPr>
                  <m:e>
                    <m:r>
                      <w:rPr>
                        <w:rFonts w:ascii="DejaVu Math TeX Gyre" w:hAnsi="DejaVu Math TeX Gyre" w:cs="Times New Roman Regular"/>
                        <w:sz w:val="16"/>
                        <w:szCs w:val="16"/>
                      </w:rPr>
                      <m:t>(2,73)</m:t>
                    </m:r>
                  </m:e>
                  <m:sup>
                    <m:r>
                      <w:rPr>
                        <w:rFonts w:ascii="DejaVu Math TeX Gyre" w:hAnsi="DejaVu Math TeX Gyre" w:cs="Times New Roman Regular"/>
                        <w:sz w:val="16"/>
                        <w:szCs w:val="16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809" w:type="dxa"/>
          </w:tcPr>
          <w:p w14:paraId="504808F1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0,35</w:t>
            </w:r>
          </w:p>
          <w:p w14:paraId="4509917A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(4,38)</w:t>
            </w:r>
          </w:p>
        </w:tc>
        <w:tc>
          <w:tcPr>
            <w:tcW w:w="1809" w:type="dxa"/>
          </w:tcPr>
          <w:p w14:paraId="3B104DD4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0,27</w:t>
            </w:r>
          </w:p>
          <w:p w14:paraId="6C87CA11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(2,35)</w:t>
            </w:r>
          </w:p>
        </w:tc>
        <w:tc>
          <w:tcPr>
            <w:tcW w:w="2006" w:type="dxa"/>
          </w:tcPr>
          <w:p w14:paraId="4B593F81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0,20</w:t>
            </w:r>
          </w:p>
          <w:p w14:paraId="15C9B6E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(1,70)</w:t>
            </w:r>
          </w:p>
        </w:tc>
      </w:tr>
      <w:tr w:rsidR="00CF5ECD" w14:paraId="15B36252" w14:textId="77777777">
        <w:trPr>
          <w:trHeight w:val="490"/>
        </w:trPr>
        <w:tc>
          <w:tcPr>
            <w:tcW w:w="1530" w:type="dxa"/>
          </w:tcPr>
          <w:p w14:paraId="35AF3B0E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GE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2205075D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0,13</w:t>
            </w:r>
          </w:p>
          <w:p w14:paraId="47E81D35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(1,73)</w:t>
            </w:r>
          </w:p>
        </w:tc>
        <w:tc>
          <w:tcPr>
            <w:tcW w:w="1809" w:type="dxa"/>
            <w:shd w:val="clear" w:color="auto" w:fill="CFCDCD" w:themeFill="background2" w:themeFillShade="E5"/>
          </w:tcPr>
          <w:p w14:paraId="541BD80F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51AF136A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0,21</w:t>
            </w:r>
          </w:p>
          <w:p w14:paraId="42B5E47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(1,26)</w:t>
            </w:r>
          </w:p>
        </w:tc>
        <w:tc>
          <w:tcPr>
            <w:tcW w:w="2006" w:type="dxa"/>
          </w:tcPr>
          <w:p w14:paraId="2C5DEC46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0,15</w:t>
            </w:r>
          </w:p>
          <w:p w14:paraId="033926B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(0,96)</w:t>
            </w:r>
          </w:p>
        </w:tc>
      </w:tr>
      <w:tr w:rsidR="00CF5ECD" w14:paraId="23EB5529" w14:textId="77777777">
        <w:trPr>
          <w:trHeight w:val="490"/>
        </w:trPr>
        <w:tc>
          <w:tcPr>
            <w:tcW w:w="1530" w:type="dxa"/>
          </w:tcPr>
          <w:p w14:paraId="1538F45A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  <w:shd w:val="clear" w:color="auto" w:fill="CFCDCD" w:themeFill="background2" w:themeFillShade="E5"/>
          </w:tcPr>
          <w:p w14:paraId="4BD5B97E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shd w:val="clear" w:color="auto" w:fill="CFCDCD" w:themeFill="background2" w:themeFillShade="E5"/>
          </w:tcPr>
          <w:p w14:paraId="0EEF4F86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1418C280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-0,07</w:t>
            </w:r>
          </w:p>
          <w:p w14:paraId="6EFA6A84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(1,33)</w:t>
            </w:r>
          </w:p>
        </w:tc>
        <w:tc>
          <w:tcPr>
            <w:tcW w:w="2006" w:type="dxa"/>
          </w:tcPr>
          <w:p w14:paraId="6B906A22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-0,06</w:t>
            </w:r>
          </w:p>
          <w:p w14:paraId="4A1ED7C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(0,76)</w:t>
            </w:r>
          </w:p>
        </w:tc>
      </w:tr>
      <w:tr w:rsidR="00CF5ECD" w14:paraId="4F1375D3" w14:textId="77777777">
        <w:trPr>
          <w:trHeight w:val="490"/>
        </w:trPr>
        <w:tc>
          <w:tcPr>
            <w:tcW w:w="1530" w:type="dxa"/>
          </w:tcPr>
          <w:p w14:paraId="5A05DE38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Wage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  <w:shd w:val="clear" w:color="auto" w:fill="CFCDCD" w:themeFill="background2" w:themeFillShade="E5"/>
          </w:tcPr>
          <w:p w14:paraId="0FD50D57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shd w:val="clear" w:color="auto" w:fill="CFCDCD" w:themeFill="background2" w:themeFillShade="E5"/>
          </w:tcPr>
          <w:p w14:paraId="5564FB5B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3946FB85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0,12</w:t>
            </w:r>
          </w:p>
          <w:p w14:paraId="444F216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(3,80)</w:t>
            </w:r>
          </w:p>
        </w:tc>
        <w:tc>
          <w:tcPr>
            <w:tcW w:w="2006" w:type="dxa"/>
          </w:tcPr>
          <w:p w14:paraId="56C3133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0,13</w:t>
            </w:r>
          </w:p>
          <w:p w14:paraId="5AAA060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(2,8)</w:t>
            </w:r>
          </w:p>
        </w:tc>
      </w:tr>
      <w:tr w:rsidR="00CF5ECD" w14:paraId="32FA04A3" w14:textId="77777777">
        <w:trPr>
          <w:trHeight w:val="490"/>
        </w:trPr>
        <w:tc>
          <w:tcPr>
            <w:tcW w:w="1530" w:type="dxa"/>
          </w:tcPr>
          <w:p w14:paraId="1F41DC79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Oil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5C458AE2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0,20</w:t>
            </w:r>
          </w:p>
          <w:p w14:paraId="1758FD10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(0,69)</w:t>
            </w:r>
          </w:p>
        </w:tc>
        <w:tc>
          <w:tcPr>
            <w:tcW w:w="1809" w:type="dxa"/>
            <w:shd w:val="clear" w:color="auto" w:fill="CFCDCD" w:themeFill="background2" w:themeFillShade="E5"/>
          </w:tcPr>
          <w:p w14:paraId="1BD99AE9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1E17C745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0,11</w:t>
            </w:r>
          </w:p>
          <w:p w14:paraId="2CB23FFF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(0,564)</w:t>
            </w:r>
          </w:p>
        </w:tc>
        <w:tc>
          <w:tcPr>
            <w:tcW w:w="2006" w:type="dxa"/>
          </w:tcPr>
          <w:p w14:paraId="67C568E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0,15</w:t>
            </w:r>
          </w:p>
          <w:p w14:paraId="447983CE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(0,42)</w:t>
            </w:r>
          </w:p>
        </w:tc>
      </w:tr>
      <w:tr w:rsidR="00CF5ECD" w14:paraId="59307FED" w14:textId="77777777">
        <w:trPr>
          <w:trHeight w:val="490"/>
        </w:trPr>
        <w:tc>
          <w:tcPr>
            <w:tcW w:w="1530" w:type="dxa"/>
          </w:tcPr>
          <w:p w14:paraId="563EE51A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w:proofErr w:type="spellStart"/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Ict</m:t>
                    </m:r>
                    <w:proofErr w:type="spellEnd"/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128014E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0,13</w:t>
            </w:r>
          </w:p>
          <w:p w14:paraId="057762FF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(0,01)</w:t>
            </w:r>
          </w:p>
        </w:tc>
        <w:tc>
          <w:tcPr>
            <w:tcW w:w="1809" w:type="dxa"/>
            <w:shd w:val="clear" w:color="auto" w:fill="CFCDCD" w:themeFill="background2" w:themeFillShade="E5"/>
          </w:tcPr>
          <w:p w14:paraId="437698B2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  <w:shd w:val="clear" w:color="auto" w:fill="CFCDCD" w:themeFill="background2" w:themeFillShade="E5"/>
          </w:tcPr>
          <w:p w14:paraId="69D42898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14:paraId="4FE91B16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0,07</w:t>
            </w:r>
          </w:p>
          <w:p w14:paraId="7884CF12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(0,01)</w:t>
            </w:r>
          </w:p>
        </w:tc>
      </w:tr>
      <w:tr w:rsidR="00CF5ECD" w14:paraId="01A56BC4" w14:textId="77777777">
        <w:trPr>
          <w:trHeight w:val="490"/>
        </w:trPr>
        <w:tc>
          <w:tcPr>
            <w:tcW w:w="1530" w:type="dxa"/>
          </w:tcPr>
          <w:p w14:paraId="1C66AB92" w14:textId="77777777" w:rsidR="00CF5ECD" w:rsidRDefault="00374CF7">
            <w:pPr>
              <w:widowControl/>
              <w:ind w:firstLine="397"/>
              <w:jc w:val="center"/>
              <w:rPr>
                <w:rFonts w:ascii="DejaVu Math TeX Gyre" w:hAnsi="DejaVu Math TeX Gyre" w:cs="Times New Roman Regular"/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PC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3979BBDA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-0,31</w:t>
            </w:r>
          </w:p>
          <w:p w14:paraId="2DE3A56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(0,04)</w:t>
            </w:r>
          </w:p>
        </w:tc>
        <w:tc>
          <w:tcPr>
            <w:tcW w:w="1809" w:type="dxa"/>
            <w:shd w:val="clear" w:color="auto" w:fill="CFCDCD" w:themeFill="background2" w:themeFillShade="E5"/>
          </w:tcPr>
          <w:p w14:paraId="6E0440D5" w14:textId="77777777" w:rsidR="00CF5ECD" w:rsidRDefault="00CF5ECD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  <w:tc>
          <w:tcPr>
            <w:tcW w:w="1809" w:type="dxa"/>
          </w:tcPr>
          <w:p w14:paraId="3B92A200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-0,26</w:t>
            </w:r>
          </w:p>
          <w:p w14:paraId="78282D61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(0,30)</w:t>
            </w:r>
          </w:p>
        </w:tc>
        <w:tc>
          <w:tcPr>
            <w:tcW w:w="2006" w:type="dxa"/>
          </w:tcPr>
          <w:p w14:paraId="515BC35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-0,27</w:t>
            </w:r>
          </w:p>
          <w:p w14:paraId="1B347B44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(0,02)</w:t>
            </w:r>
          </w:p>
        </w:tc>
      </w:tr>
      <w:tr w:rsidR="00CF5ECD" w14:paraId="57CCA8A4" w14:textId="77777777">
        <w:trPr>
          <w:trHeight w:val="490"/>
        </w:trPr>
        <w:tc>
          <w:tcPr>
            <w:tcW w:w="1530" w:type="dxa"/>
          </w:tcPr>
          <w:p w14:paraId="08725B79" w14:textId="77777777" w:rsidR="00CF5ECD" w:rsidRDefault="00374CF7">
            <w:pPr>
              <w:widowControl/>
              <w:ind w:firstLine="397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EX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4758573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0,56</w:t>
            </w:r>
          </w:p>
          <w:p w14:paraId="764B6A7A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(0,02)</w:t>
            </w:r>
          </w:p>
        </w:tc>
        <w:tc>
          <w:tcPr>
            <w:tcW w:w="1809" w:type="dxa"/>
          </w:tcPr>
          <w:p w14:paraId="038FDC2D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0,41</w:t>
            </w:r>
          </w:p>
          <w:p w14:paraId="03F1174E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(0,04)</w:t>
            </w:r>
          </w:p>
        </w:tc>
        <w:tc>
          <w:tcPr>
            <w:tcW w:w="1809" w:type="dxa"/>
          </w:tcPr>
          <w:p w14:paraId="4D45AFC4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0,53</w:t>
            </w:r>
          </w:p>
          <w:p w14:paraId="055338C5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(0,02)</w:t>
            </w:r>
          </w:p>
        </w:tc>
        <w:tc>
          <w:tcPr>
            <w:tcW w:w="2006" w:type="dxa"/>
          </w:tcPr>
          <w:p w14:paraId="67A4A979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0,49</w:t>
            </w:r>
          </w:p>
          <w:p w14:paraId="4572D3A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(0,02)</w:t>
            </w:r>
          </w:p>
        </w:tc>
      </w:tr>
      <w:tr w:rsidR="00CF5ECD" w14:paraId="2F2A3DAC" w14:textId="77777777">
        <w:trPr>
          <w:trHeight w:val="490"/>
        </w:trPr>
        <w:tc>
          <w:tcPr>
            <w:tcW w:w="1530" w:type="dxa"/>
          </w:tcPr>
          <w:p w14:paraId="69AAE676" w14:textId="77777777" w:rsidR="00CF5ECD" w:rsidRDefault="00374CF7">
            <w:pPr>
              <w:widowControl/>
              <w:ind w:firstLine="397"/>
              <w:rPr>
                <w:rFonts w:ascii="DejaVu Math TeX Gyre" w:hAnsi="DejaVu Math TeX Gyre" w:cs="Times New Roman Regular"/>
                <w:sz w:val="24"/>
                <w:szCs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DejaVu Math TeX Gyre" w:hAnsi="DejaVu Math TeX Gyre" w:cs="Times New Roman Regular"/>
                        <w:sz w:val="24"/>
                        <w:szCs w:val="24"/>
                      </w:rPr>
                      <m:t>MB</m:t>
                    </m:r>
                  </m:e>
                  <m:sub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006" w:type="dxa"/>
          </w:tcPr>
          <w:p w14:paraId="29C6A4C7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0,28</w:t>
            </w:r>
          </w:p>
          <w:p w14:paraId="11794F0C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(2,41)</w:t>
            </w:r>
          </w:p>
        </w:tc>
        <w:tc>
          <w:tcPr>
            <w:tcW w:w="1809" w:type="dxa"/>
          </w:tcPr>
          <w:p w14:paraId="3AC623A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0,29</w:t>
            </w:r>
          </w:p>
          <w:p w14:paraId="13AF3163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(4,89)</w:t>
            </w:r>
          </w:p>
        </w:tc>
        <w:tc>
          <w:tcPr>
            <w:tcW w:w="1809" w:type="dxa"/>
          </w:tcPr>
          <w:p w14:paraId="4C9F022C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0,27</w:t>
            </w:r>
          </w:p>
          <w:p w14:paraId="0E121F78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(2,07)</w:t>
            </w:r>
          </w:p>
        </w:tc>
        <w:tc>
          <w:tcPr>
            <w:tcW w:w="2006" w:type="dxa"/>
          </w:tcPr>
          <w:p w14:paraId="4922670B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0,26</w:t>
            </w:r>
          </w:p>
          <w:p w14:paraId="27BB614D" w14:textId="77777777" w:rsidR="00CF5ECD" w:rsidRDefault="00374CF7">
            <w:pPr>
              <w:widowControl/>
              <w:ind w:firstLine="397"/>
              <w:jc w:val="center"/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18"/>
                <w:szCs w:val="18"/>
                <w:lang w:val="ru-RU"/>
              </w:rPr>
              <w:t>(1,51)</w:t>
            </w:r>
          </w:p>
        </w:tc>
      </w:tr>
      <w:tr w:rsidR="00CF5ECD" w14:paraId="7094F3C8" w14:textId="77777777">
        <w:trPr>
          <w:trHeight w:val="391"/>
        </w:trPr>
        <w:tc>
          <w:tcPr>
            <w:tcW w:w="1530" w:type="dxa"/>
          </w:tcPr>
          <w:p w14:paraId="41E33ED2" w14:textId="77777777" w:rsidR="00CF5ECD" w:rsidRDefault="00374CF7">
            <w:pPr>
              <w:widowControl/>
              <w:ind w:firstLine="397"/>
              <w:rPr>
                <w:rFonts w:ascii="DejaVu Math TeX Gyre" w:hAnsi="DejaVu Math TeX Gyre" w:cs="Times New Roman Regular"/>
                <w:sz w:val="24"/>
                <w:szCs w:val="24"/>
                <w:oMath/>
              </w:rPr>
            </w:pPr>
            <m:oMathPara>
              <m:oMath>
                <m:sSubSup>
                  <m:sSubSupPr>
                    <m:ctrl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R</m:t>
                    </m:r>
                  </m:e>
                  <m:sub>
                    <w:proofErr w:type="spellStart"/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i/>
                        <w:sz w:val="24"/>
                        <w:szCs w:val="24"/>
                      </w:rPr>
                      <m:t>adj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DejaVu Math TeX Gyre" w:hAnsi="DejaVu Math TeX Gyre" w:cs="Times New Roman Regular"/>
                        <w:sz w:val="24"/>
                        <w:szCs w:val="24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2006" w:type="dxa"/>
          </w:tcPr>
          <w:p w14:paraId="51B7C7F3" w14:textId="77777777" w:rsidR="00CF5ECD" w:rsidRDefault="00374CF7">
            <w:pPr>
              <w:widowControl/>
              <w:ind w:firstLine="397"/>
              <w:jc w:val="center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  <w:t>0,559</w:t>
            </w:r>
          </w:p>
        </w:tc>
        <w:tc>
          <w:tcPr>
            <w:tcW w:w="1809" w:type="dxa"/>
          </w:tcPr>
          <w:p w14:paraId="1914A1A8" w14:textId="77777777" w:rsidR="00CF5ECD" w:rsidRDefault="00374CF7">
            <w:pPr>
              <w:widowControl/>
              <w:ind w:firstLine="397"/>
              <w:jc w:val="center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  <w:t>0,446</w:t>
            </w:r>
          </w:p>
        </w:tc>
        <w:tc>
          <w:tcPr>
            <w:tcW w:w="1809" w:type="dxa"/>
          </w:tcPr>
          <w:p w14:paraId="2F91A648" w14:textId="77777777" w:rsidR="00CF5ECD" w:rsidRDefault="00374CF7">
            <w:pPr>
              <w:widowControl/>
              <w:ind w:firstLine="397"/>
              <w:jc w:val="center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  <w:t>0,631</w:t>
            </w:r>
          </w:p>
        </w:tc>
        <w:tc>
          <w:tcPr>
            <w:tcW w:w="2006" w:type="dxa"/>
          </w:tcPr>
          <w:p w14:paraId="51779925" w14:textId="77777777" w:rsidR="00CF5ECD" w:rsidRDefault="00374CF7">
            <w:pPr>
              <w:widowControl/>
              <w:ind w:firstLine="397"/>
              <w:jc w:val="center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ru-RU"/>
              </w:rPr>
              <w:t>0,576</w:t>
            </w:r>
          </w:p>
        </w:tc>
      </w:tr>
    </w:tbl>
    <w:p w14:paraId="3CAF4ACA" w14:textId="77777777" w:rsidR="00CF5ECD" w:rsidRDefault="00CF5ECD">
      <w:pPr>
        <w:ind w:firstLine="397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1F1CE2B5" w14:textId="77777777" w:rsidR="00CF5ECD" w:rsidRDefault="00374CF7">
      <w:pPr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результатам проведенного исследования, к числу наиболее значимых регрессоров по всем моделям относятся: обменный валютный курс, темп роста денежной базы, темп роста потребительских расходов на душу населения. Суммируя коэффициенты по всем четырем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регрессиям, можно сделать следующие выводы: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повышении обменного курса на 1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индекс потребительских цен возрастает на 0,41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0,56 </w:t>
      </w:r>
      <w:proofErr w:type="gramStart"/>
      <w:r w:rsidRPr="00374CF7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увеличение денежной базы на 1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ru-RU"/>
        </w:rPr>
        <w:t>приводит к росту инфляции на  0,26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0,29 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sz w:val="24"/>
          <w:szCs w:val="24"/>
          <w:lang w:val="ru-RU"/>
        </w:rPr>
        <w:t>,  рост потребительских расходов на душу населени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приводит к повышению инфляции на </w:t>
      </w:r>
      <w:r>
        <w:rPr>
          <w:rFonts w:ascii="Times New Roman" w:hAnsi="Times New Roman" w:cs="Times New Roman"/>
          <w:sz w:val="24"/>
          <w:szCs w:val="24"/>
          <w:lang w:val="ru-RU"/>
        </w:rPr>
        <w:t>0,2</w:t>
      </w:r>
      <w:r w:rsidRPr="00374CF7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>0,35%.</w:t>
      </w:r>
    </w:p>
    <w:p w14:paraId="11C5858E" w14:textId="77777777" w:rsidR="00CF5ECD" w:rsidRDefault="00374CF7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результаты модели демонстрируют необходимость формирования антиинфляционной политики с учетом различий в социально-экономическом положении субъектов Российской Федерации.</w:t>
      </w:r>
    </w:p>
    <w:p w14:paraId="21F1C6F6" w14:textId="77777777" w:rsidR="00CF5ECD" w:rsidRDefault="00CF5ECD">
      <w:pPr>
        <w:ind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</w:p>
    <w:p w14:paraId="64DF7EFB" w14:textId="77777777" w:rsidR="00CF5ECD" w:rsidRDefault="00374CF7">
      <w:pPr>
        <w:ind w:firstLine="397"/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ru-RU"/>
        </w:rPr>
        <w:t>Литература</w:t>
      </w:r>
    </w:p>
    <w:p w14:paraId="3099A17D" w14:textId="77777777" w:rsidR="00CF5ECD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Гудакова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/>
          <w:sz w:val="24"/>
          <w:szCs w:val="24"/>
          <w:lang w:val="ru-RU"/>
        </w:rPr>
        <w:t>Ю.В. Роль инфляции спроса в инфляционных процессах современной России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 xml:space="preserve"> / </w:t>
      </w: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Гудакова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 xml:space="preserve"> Ю.В.  // Россия в глобальном мире. – 2018. – № 12(35)–13(36). – С. 41–47.</w:t>
      </w:r>
    </w:p>
    <w:p w14:paraId="20C23D48" w14:textId="77777777" w:rsidR="00CF5ECD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 xml:space="preserve">Кириллов А.М. Инфляция цен на продовольственные товары в России: пространственный анализ 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 xml:space="preserve">/ </w:t>
      </w:r>
      <w:r>
        <w:rPr>
          <w:rFonts w:ascii="Times New Roman Regular" w:hAnsi="Times New Roman Regular"/>
          <w:sz w:val="24"/>
          <w:szCs w:val="24"/>
          <w:lang w:val="ru-RU"/>
        </w:rPr>
        <w:t>Кириллов А</w:t>
      </w:r>
      <w:r>
        <w:rPr>
          <w:rFonts w:ascii="Times New Roman Regular" w:hAnsi="Times New Roman Regular"/>
          <w:sz w:val="24"/>
          <w:szCs w:val="24"/>
          <w:lang w:val="ru-RU"/>
        </w:rPr>
        <w:t>.М.</w:t>
      </w:r>
      <w:r w:rsidRPr="00374CF7">
        <w:rPr>
          <w:rFonts w:ascii="Times New Roman Regular" w:hAnsi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/>
          <w:sz w:val="24"/>
          <w:szCs w:val="24"/>
          <w:lang w:val="ru-RU"/>
        </w:rPr>
        <w:t>// Пространственная эконометрика. – 2017. – № 4. – С. 41–58.</w:t>
      </w:r>
    </w:p>
    <w:p w14:paraId="43056A45" w14:textId="77777777" w:rsidR="00CF5ECD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Отчет о развитии банковского сектора и банковского надзора. URL: https://www.cbr.ru/about_br/publ/ (дата обращения: 01.09.2025).</w:t>
      </w:r>
    </w:p>
    <w:p w14:paraId="7BB84F62" w14:textId="77777777" w:rsidR="00CF5ECD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>Регионы России. Социально-экономические показатели. URL: https</w:t>
      </w:r>
      <w:r>
        <w:rPr>
          <w:rFonts w:ascii="Times New Roman Regular" w:hAnsi="Times New Roman Regular"/>
          <w:sz w:val="24"/>
          <w:szCs w:val="24"/>
          <w:lang w:val="ru-RU"/>
        </w:rPr>
        <w:t>://rosstat.gov.ru/folder/210/document/13204 (дата обращения: 01.09.2025).</w:t>
      </w:r>
    </w:p>
    <w:p w14:paraId="563F9538" w14:textId="77777777" w:rsidR="00CF5ECD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  <w:lang w:val="ru-RU"/>
        </w:rPr>
      </w:pPr>
      <w:r>
        <w:rPr>
          <w:rFonts w:ascii="Times New Roman Regular" w:hAnsi="Times New Roman Regular"/>
          <w:sz w:val="24"/>
          <w:szCs w:val="24"/>
          <w:lang w:val="ru-RU"/>
        </w:rPr>
        <w:t xml:space="preserve">Регионы России // </w:t>
      </w: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Геопортал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 xml:space="preserve"> ВШЭ. URL: https://geoportal.hse.ru/portal/apps/sites/#/geodata/datasets/312110492c8a4d5b83c4422f4704db17/about (дата обращения: 10.10.2025).</w:t>
      </w:r>
    </w:p>
    <w:p w14:paraId="6C8D7BC1" w14:textId="77777777" w:rsidR="00CF5ECD" w:rsidRPr="00374CF7" w:rsidRDefault="00374CF7">
      <w:pPr>
        <w:numPr>
          <w:ilvl w:val="0"/>
          <w:numId w:val="11"/>
        </w:numPr>
        <w:tabs>
          <w:tab w:val="clear" w:pos="425"/>
        </w:tabs>
        <w:ind w:left="0" w:firstLine="397"/>
        <w:jc w:val="both"/>
        <w:rPr>
          <w:rFonts w:ascii="Times New Roman Regular" w:hAnsi="Times New Roman Regular"/>
          <w:sz w:val="24"/>
          <w:szCs w:val="24"/>
        </w:rPr>
      </w:pPr>
      <w:proofErr w:type="spellStart"/>
      <w:r w:rsidRPr="00374CF7">
        <w:rPr>
          <w:rFonts w:ascii="Times New Roman Regular" w:hAnsi="Times New Roman Regular"/>
          <w:sz w:val="24"/>
          <w:szCs w:val="24"/>
        </w:rPr>
        <w:t>Sheremirov</w:t>
      </w:r>
      <w:proofErr w:type="spellEnd"/>
      <w:r w:rsidRPr="00374CF7">
        <w:rPr>
          <w:rFonts w:ascii="Times New Roman Regular" w:hAnsi="Times New Roman Regular"/>
          <w:sz w:val="24"/>
          <w:szCs w:val="24"/>
        </w:rPr>
        <w:t xml:space="preserve"> V.</w:t>
      </w:r>
      <w:r w:rsidRPr="00374CF7">
        <w:rPr>
          <w:rFonts w:ascii="Times New Roman Regular" w:hAnsi="Times New Roman Regular"/>
          <w:sz w:val="24"/>
          <w:szCs w:val="24"/>
        </w:rPr>
        <w:t xml:space="preserve">, Stein H. Global Inflation, Regional Factors </w:t>
      </w:r>
      <w:r>
        <w:rPr>
          <w:rFonts w:ascii="Times New Roman Regular" w:hAnsi="Times New Roman Regular"/>
          <w:sz w:val="24"/>
          <w:szCs w:val="24"/>
        </w:rPr>
        <w:t xml:space="preserve">/ </w:t>
      </w:r>
      <w:proofErr w:type="spellStart"/>
      <w:r w:rsidRPr="00374CF7">
        <w:rPr>
          <w:rFonts w:ascii="Times New Roman Regular" w:hAnsi="Times New Roman Regular"/>
          <w:sz w:val="24"/>
          <w:szCs w:val="24"/>
        </w:rPr>
        <w:t>Sheremirov</w:t>
      </w:r>
      <w:proofErr w:type="spellEnd"/>
      <w:r w:rsidRPr="00374CF7">
        <w:rPr>
          <w:rFonts w:ascii="Times New Roman Regular" w:hAnsi="Times New Roman Regular"/>
          <w:sz w:val="24"/>
          <w:szCs w:val="24"/>
        </w:rPr>
        <w:t xml:space="preserve"> V., Stein H.</w:t>
      </w:r>
      <w:r>
        <w:rPr>
          <w:rFonts w:ascii="Times New Roman Regular" w:hAnsi="Times New Roman Regular"/>
          <w:sz w:val="24"/>
          <w:szCs w:val="24"/>
        </w:rPr>
        <w:t xml:space="preserve"> </w:t>
      </w:r>
      <w:r w:rsidRPr="00374CF7">
        <w:rPr>
          <w:rFonts w:ascii="Times New Roman Regular" w:hAnsi="Times New Roman Regular"/>
          <w:sz w:val="24"/>
          <w:szCs w:val="24"/>
        </w:rPr>
        <w:t xml:space="preserve">// Working Papers. – 2025. – № 25-6. – </w:t>
      </w:r>
      <w:r>
        <w:rPr>
          <w:rFonts w:ascii="Times New Roman Regular" w:hAnsi="Times New Roman Regular"/>
          <w:sz w:val="24"/>
          <w:szCs w:val="24"/>
          <w:lang w:val="ru-RU"/>
        </w:rPr>
        <w:t>С</w:t>
      </w:r>
      <w:r w:rsidRPr="00374CF7">
        <w:rPr>
          <w:rFonts w:ascii="Times New Roman Regular" w:hAnsi="Times New Roman Regular"/>
          <w:sz w:val="24"/>
          <w:szCs w:val="24"/>
        </w:rPr>
        <w:t>. 1–62.</w:t>
      </w:r>
    </w:p>
    <w:sectPr w:rsidR="00CF5ECD" w:rsidRPr="00374CF7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panose1 w:val="0202060305040502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altName w:val="Times New Roman"/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.AppleSystemUIFont">
    <w:altName w:val="Calibri"/>
    <w:panose1 w:val="020B0604020202020204"/>
    <w:charset w:val="00"/>
    <w:family w:val="auto"/>
    <w:pitch w:val="default"/>
  </w:font>
  <w:font w:name="DejaVu Math TeX Gyre">
    <w:altName w:val="Calibri"/>
    <w:panose1 w:val="020B0604020202020204"/>
    <w:charset w:val="00"/>
    <w:family w:val="auto"/>
    <w:pitch w:val="default"/>
    <w:sig w:usb0="A10000EF" w:usb1="4201F9EE" w:usb2="02000000" w:usb3="00000000" w:csb0="60000193" w:csb1="0DD4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70BB4"/>
    <w:multiLevelType w:val="singleLevel"/>
    <w:tmpl w:val="FFF70B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9F6B9B21"/>
    <w:rsid w:val="A9FF84E8"/>
    <w:rsid w:val="AF5E7FF1"/>
    <w:rsid w:val="BDAF0674"/>
    <w:rsid w:val="C3BE569E"/>
    <w:rsid w:val="CDFB1AB6"/>
    <w:rsid w:val="CFFF8770"/>
    <w:rsid w:val="D3DF9971"/>
    <w:rsid w:val="D43DC092"/>
    <w:rsid w:val="D8772292"/>
    <w:rsid w:val="DBE544B9"/>
    <w:rsid w:val="E5FF0B58"/>
    <w:rsid w:val="ED33A667"/>
    <w:rsid w:val="EDF52839"/>
    <w:rsid w:val="EFBED9C0"/>
    <w:rsid w:val="F2FE10F7"/>
    <w:rsid w:val="F4FBDDC8"/>
    <w:rsid w:val="F6ED6D2A"/>
    <w:rsid w:val="F99B5561"/>
    <w:rsid w:val="FB796EB3"/>
    <w:rsid w:val="FDC712DA"/>
    <w:rsid w:val="FDFB1B1A"/>
    <w:rsid w:val="FEF375BC"/>
    <w:rsid w:val="FEFB4961"/>
    <w:rsid w:val="FEFE389F"/>
    <w:rsid w:val="FF15CCEF"/>
    <w:rsid w:val="FF6FB9C6"/>
    <w:rsid w:val="FF883A4D"/>
    <w:rsid w:val="FFEB045B"/>
    <w:rsid w:val="FFEF9313"/>
    <w:rsid w:val="FFF7D5CA"/>
    <w:rsid w:val="FFFD7F8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2A27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4CF7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5ECD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B4E697E"/>
    <w:rsid w:val="0DF80C4B"/>
    <w:rsid w:val="13FB0FE7"/>
    <w:rsid w:val="183C194D"/>
    <w:rsid w:val="18FB532C"/>
    <w:rsid w:val="2830325E"/>
    <w:rsid w:val="2C6E6774"/>
    <w:rsid w:val="2E9B828D"/>
    <w:rsid w:val="2EF603B4"/>
    <w:rsid w:val="3359E6E2"/>
    <w:rsid w:val="34B553A8"/>
    <w:rsid w:val="35220871"/>
    <w:rsid w:val="38BD8538"/>
    <w:rsid w:val="395A178C"/>
    <w:rsid w:val="3BFF4F7F"/>
    <w:rsid w:val="3C2D1349"/>
    <w:rsid w:val="3FEFA3FC"/>
    <w:rsid w:val="42B53B71"/>
    <w:rsid w:val="4516737E"/>
    <w:rsid w:val="4767E65D"/>
    <w:rsid w:val="4EF96A3B"/>
    <w:rsid w:val="50CE64ED"/>
    <w:rsid w:val="553620D0"/>
    <w:rsid w:val="5700253F"/>
    <w:rsid w:val="575F7923"/>
    <w:rsid w:val="579FC9F6"/>
    <w:rsid w:val="598C2E3F"/>
    <w:rsid w:val="599F5B19"/>
    <w:rsid w:val="5CC30940"/>
    <w:rsid w:val="5EFF743D"/>
    <w:rsid w:val="5FB5DD46"/>
    <w:rsid w:val="5FFAA826"/>
    <w:rsid w:val="646F4A2E"/>
    <w:rsid w:val="66981854"/>
    <w:rsid w:val="66FFEA82"/>
    <w:rsid w:val="6793017D"/>
    <w:rsid w:val="694D20F7"/>
    <w:rsid w:val="6DE86026"/>
    <w:rsid w:val="6DF7B9B0"/>
    <w:rsid w:val="70B17CF0"/>
    <w:rsid w:val="77FEC10D"/>
    <w:rsid w:val="793F6EEC"/>
    <w:rsid w:val="79FF7395"/>
    <w:rsid w:val="7A45363A"/>
    <w:rsid w:val="7AA54427"/>
    <w:rsid w:val="7AD54934"/>
    <w:rsid w:val="7E939E85"/>
    <w:rsid w:val="7EEF0455"/>
    <w:rsid w:val="7EFD91FF"/>
    <w:rsid w:val="7F7F83B5"/>
    <w:rsid w:val="7FCE73EF"/>
    <w:rsid w:val="7FD301EB"/>
    <w:rsid w:val="7FF6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395FE29"/>
  <w15:docId w15:val="{58BCA837-816C-AD45-A671-E91607E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1" w:unhideWhenUsed="1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 Number" w:qFormat="1"/>
    <w:lsdException w:name="List 2" w:qFormat="1"/>
    <w:lsdException w:name="List 3" w:qFormat="1"/>
    <w:lsdException w:name="List 5" w:qFormat="1"/>
    <w:lsdException w:name="List Number 2" w:qFormat="1"/>
    <w:lsdException w:name="List Number 5" w:qFormat="1"/>
    <w:lsdException w:name="Title" w:qFormat="1"/>
    <w:lsdException w:name="Signature" w:qFormat="1"/>
    <w:lsdException w:name="Default Paragraph Font" w:semiHidden="1" w:qFormat="1"/>
    <w:lsdException w:name="List Continue" w:qFormat="1"/>
    <w:lsdException w:name="List Continue 2" w:qFormat="1"/>
    <w:lsdException w:name="List Continue 4" w:qFormat="1"/>
    <w:lsdException w:name="Message Header" w:qFormat="1"/>
    <w:lsdException w:name="Subtitle" w:qFormat="1"/>
    <w:lsdException w:name="Salutation" w:qFormat="1"/>
    <w:lsdException w:name="Block Text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 w:qFormat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qFormat/>
    <w:rPr>
      <w:sz w:val="16"/>
      <w:szCs w:val="16"/>
    </w:rPr>
  </w:style>
  <w:style w:type="paragraph" w:styleId="a6">
    <w:name w:val="Block Text"/>
    <w:basedOn w:val="a1"/>
    <w:qFormat/>
    <w:pPr>
      <w:spacing w:after="120"/>
      <w:ind w:leftChars="700" w:left="1440" w:rightChars="700" w:right="1440"/>
    </w:pPr>
  </w:style>
  <w:style w:type="paragraph" w:styleId="a7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8">
    <w:name w:val="Body Text First Indent"/>
    <w:basedOn w:val="a7"/>
    <w:pPr>
      <w:ind w:firstLineChars="100" w:firstLine="420"/>
    </w:pPr>
  </w:style>
  <w:style w:type="paragraph" w:styleId="a9">
    <w:name w:val="Body Text Indent"/>
    <w:basedOn w:val="a1"/>
    <w:pPr>
      <w:spacing w:after="120"/>
      <w:ind w:leftChars="200" w:left="420"/>
    </w:pPr>
  </w:style>
  <w:style w:type="paragraph" w:styleId="23">
    <w:name w:val="Body Text First Indent 2"/>
    <w:basedOn w:val="a9"/>
    <w:pPr>
      <w:ind w:firstLineChars="200" w:firstLine="420"/>
    </w:pPr>
  </w:style>
  <w:style w:type="paragraph" w:styleId="24">
    <w:name w:val="Body Text Indent 2"/>
    <w:basedOn w:val="a1"/>
    <w:pPr>
      <w:spacing w:after="120" w:line="480" w:lineRule="auto"/>
      <w:ind w:leftChars="200" w:left="420"/>
    </w:pPr>
  </w:style>
  <w:style w:type="paragraph" w:styleId="33">
    <w:name w:val="Body Text Indent 3"/>
    <w:basedOn w:val="a1"/>
    <w:pPr>
      <w:spacing w:after="120"/>
      <w:ind w:leftChars="200" w:left="420"/>
    </w:pPr>
    <w:rPr>
      <w:sz w:val="16"/>
      <w:szCs w:val="16"/>
    </w:rPr>
  </w:style>
  <w:style w:type="paragraph" w:styleId="aa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b">
    <w:name w:val="Closing"/>
    <w:basedOn w:val="a1"/>
    <w:pPr>
      <w:ind w:leftChars="2100" w:left="100"/>
    </w:pPr>
  </w:style>
  <w:style w:type="character" w:styleId="ac">
    <w:name w:val="annotation reference"/>
    <w:basedOn w:val="a2"/>
    <w:qFormat/>
    <w:rPr>
      <w:sz w:val="21"/>
      <w:szCs w:val="21"/>
    </w:rPr>
  </w:style>
  <w:style w:type="paragraph" w:styleId="ad">
    <w:name w:val="annotation text"/>
    <w:basedOn w:val="a1"/>
  </w:style>
  <w:style w:type="paragraph" w:styleId="ae">
    <w:name w:val="annotation subject"/>
    <w:basedOn w:val="ad"/>
    <w:next w:val="ad"/>
    <w:qFormat/>
    <w:rPr>
      <w:b/>
      <w:bCs/>
    </w:rPr>
  </w:style>
  <w:style w:type="paragraph" w:styleId="af">
    <w:name w:val="Date"/>
    <w:basedOn w:val="a1"/>
    <w:next w:val="a1"/>
    <w:pPr>
      <w:ind w:leftChars="2500" w:left="100"/>
    </w:pPr>
  </w:style>
  <w:style w:type="paragraph" w:styleId="af0">
    <w:name w:val="Document Map"/>
    <w:basedOn w:val="a1"/>
    <w:qFormat/>
    <w:pPr>
      <w:shd w:val="clear" w:color="auto" w:fill="000080"/>
    </w:pPr>
  </w:style>
  <w:style w:type="paragraph" w:styleId="af1">
    <w:name w:val="E-mail Signature"/>
    <w:basedOn w:val="a1"/>
  </w:style>
  <w:style w:type="character" w:styleId="af2">
    <w:name w:val="Emphasis"/>
    <w:basedOn w:val="a2"/>
    <w:qFormat/>
    <w:rPr>
      <w:i/>
      <w:iCs/>
    </w:rPr>
  </w:style>
  <w:style w:type="character" w:styleId="af3">
    <w:name w:val="endnote reference"/>
    <w:basedOn w:val="a2"/>
    <w:qFormat/>
    <w:rPr>
      <w:vertAlign w:val="superscript"/>
    </w:rPr>
  </w:style>
  <w:style w:type="paragraph" w:styleId="af4">
    <w:name w:val="endnote text"/>
    <w:basedOn w:val="a1"/>
    <w:qFormat/>
    <w:pPr>
      <w:snapToGrid w:val="0"/>
    </w:pPr>
  </w:style>
  <w:style w:type="paragraph" w:styleId="af5">
    <w:name w:val="envelope address"/>
    <w:basedOn w:val="a1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25">
    <w:name w:val="envelope return"/>
    <w:basedOn w:val="a1"/>
    <w:pPr>
      <w:snapToGrid w:val="0"/>
    </w:pPr>
    <w:rPr>
      <w:rFonts w:ascii="Arial" w:hAnsi="Arial" w:cs="Arial"/>
    </w:rPr>
  </w:style>
  <w:style w:type="character" w:styleId="af6">
    <w:name w:val="FollowedHyperlink"/>
    <w:basedOn w:val="a2"/>
    <w:qFormat/>
    <w:rPr>
      <w:color w:val="800080"/>
      <w:u w:val="single"/>
    </w:rPr>
  </w:style>
  <w:style w:type="paragraph" w:styleId="af7">
    <w:name w:val="foot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8">
    <w:name w:val="footnote reference"/>
    <w:basedOn w:val="a2"/>
    <w:qFormat/>
    <w:rPr>
      <w:vertAlign w:val="superscript"/>
    </w:rPr>
  </w:style>
  <w:style w:type="paragraph" w:styleId="af9">
    <w:name w:val="footnote text"/>
    <w:basedOn w:val="a1"/>
    <w:pPr>
      <w:snapToGrid w:val="0"/>
    </w:pPr>
    <w:rPr>
      <w:sz w:val="18"/>
      <w:szCs w:val="18"/>
    </w:rPr>
  </w:style>
  <w:style w:type="paragraph" w:styleId="afa">
    <w:name w:val="header"/>
    <w:basedOn w:val="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">
    <w:name w:val="HTML Acronym"/>
    <w:basedOn w:val="a2"/>
    <w:qFormat/>
  </w:style>
  <w:style w:type="paragraph" w:styleId="HTML0">
    <w:name w:val="HTML Address"/>
    <w:basedOn w:val="a1"/>
    <w:qFormat/>
    <w:rPr>
      <w:i/>
      <w:iCs/>
    </w:rPr>
  </w:style>
  <w:style w:type="character" w:styleId="HTML1">
    <w:name w:val="HTML Cite"/>
    <w:basedOn w:val="a2"/>
    <w:rPr>
      <w:i/>
      <w:iCs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Keyboard"/>
    <w:basedOn w:val="a2"/>
    <w:qFormat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1"/>
    <w:qFormat/>
    <w:rPr>
      <w:rFonts w:ascii="Courier New" w:hAnsi="Courier New" w:cs="Courier New"/>
    </w:rPr>
  </w:style>
  <w:style w:type="character" w:styleId="HTML6">
    <w:name w:val="HTML Sample"/>
    <w:basedOn w:val="a2"/>
    <w:qFormat/>
    <w:rPr>
      <w:rFonts w:ascii="Courier New" w:hAnsi="Courier New" w:cs="Courier New"/>
    </w:rPr>
  </w:style>
  <w:style w:type="character" w:styleId="HTML7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HTML8">
    <w:name w:val="HTML Variable"/>
    <w:basedOn w:val="a2"/>
    <w:rPr>
      <w:i/>
      <w:iCs/>
    </w:rPr>
  </w:style>
  <w:style w:type="character" w:styleId="afb">
    <w:name w:val="Hyperlink"/>
    <w:basedOn w:val="a2"/>
    <w:rPr>
      <w:color w:val="0000FF"/>
      <w:u w:val="single"/>
    </w:rPr>
  </w:style>
  <w:style w:type="paragraph" w:styleId="10">
    <w:name w:val="index 1"/>
    <w:basedOn w:val="a1"/>
    <w:next w:val="a1"/>
  </w:style>
  <w:style w:type="paragraph" w:styleId="26">
    <w:name w:val="index 2"/>
    <w:basedOn w:val="a1"/>
    <w:next w:val="a1"/>
    <w:pPr>
      <w:ind w:leftChars="200" w:left="200"/>
    </w:pPr>
  </w:style>
  <w:style w:type="paragraph" w:styleId="34">
    <w:name w:val="index 3"/>
    <w:basedOn w:val="a1"/>
    <w:next w:val="a1"/>
    <w:pPr>
      <w:ind w:leftChars="400" w:left="4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52">
    <w:name w:val="index 5"/>
    <w:basedOn w:val="a1"/>
    <w:next w:val="a1"/>
    <w:pPr>
      <w:ind w:leftChars="800" w:left="80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70">
    <w:name w:val="index 7"/>
    <w:basedOn w:val="a1"/>
    <w:next w:val="a1"/>
    <w:pPr>
      <w:ind w:leftChars="1200" w:left="1200"/>
    </w:pPr>
  </w:style>
  <w:style w:type="paragraph" w:styleId="80">
    <w:name w:val="index 8"/>
    <w:basedOn w:val="a1"/>
    <w:next w:val="a1"/>
    <w:pPr>
      <w:ind w:leftChars="1400" w:left="1400"/>
    </w:pPr>
  </w:style>
  <w:style w:type="paragraph" w:styleId="90">
    <w:name w:val="index 9"/>
    <w:basedOn w:val="a1"/>
    <w:next w:val="a1"/>
    <w:pPr>
      <w:ind w:leftChars="1600" w:left="1600"/>
    </w:pPr>
  </w:style>
  <w:style w:type="paragraph" w:styleId="afc">
    <w:name w:val="index heading"/>
    <w:basedOn w:val="a1"/>
    <w:next w:val="10"/>
    <w:rPr>
      <w:rFonts w:ascii="Arial" w:hAnsi="Arial" w:cs="Arial"/>
      <w:b/>
      <w:bCs/>
    </w:rPr>
  </w:style>
  <w:style w:type="character" w:styleId="afd">
    <w:name w:val="line number"/>
    <w:basedOn w:val="a2"/>
  </w:style>
  <w:style w:type="paragraph" w:styleId="afe">
    <w:name w:val="List"/>
    <w:basedOn w:val="a1"/>
    <w:pPr>
      <w:ind w:left="200" w:hangingChars="200" w:hanging="200"/>
    </w:pPr>
  </w:style>
  <w:style w:type="paragraph" w:styleId="27">
    <w:name w:val="List 2"/>
    <w:basedOn w:val="a1"/>
    <w:qFormat/>
    <w:pPr>
      <w:ind w:leftChars="200" w:left="100" w:hangingChars="200" w:hanging="200"/>
    </w:pPr>
  </w:style>
  <w:style w:type="paragraph" w:styleId="35">
    <w:name w:val="List 3"/>
    <w:basedOn w:val="a1"/>
    <w:qFormat/>
    <w:pPr>
      <w:ind w:leftChars="400" w:left="100" w:hangingChars="200" w:hanging="200"/>
    </w:pPr>
  </w:style>
  <w:style w:type="paragraph" w:styleId="43">
    <w:name w:val="List 4"/>
    <w:basedOn w:val="a1"/>
    <w:pPr>
      <w:ind w:leftChars="600" w:left="100" w:hangingChars="200" w:hanging="200"/>
    </w:pPr>
  </w:style>
  <w:style w:type="paragraph" w:styleId="53">
    <w:name w:val="List 5"/>
    <w:basedOn w:val="a1"/>
    <w:qFormat/>
    <w:pPr>
      <w:ind w:leftChars="800" w:left="100" w:hangingChars="200" w:hanging="200"/>
    </w:pPr>
  </w:style>
  <w:style w:type="paragraph" w:styleId="a0">
    <w:name w:val="List Bullet"/>
    <w:basedOn w:val="a1"/>
    <w:pPr>
      <w:numPr>
        <w:numId w:val="1"/>
      </w:numPr>
    </w:pPr>
  </w:style>
  <w:style w:type="paragraph" w:styleId="20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40">
    <w:name w:val="List Bullet 4"/>
    <w:basedOn w:val="a1"/>
    <w:pPr>
      <w:numPr>
        <w:numId w:val="4"/>
      </w:numPr>
    </w:pPr>
  </w:style>
  <w:style w:type="paragraph" w:styleId="50">
    <w:name w:val="List Bullet 5"/>
    <w:basedOn w:val="a1"/>
    <w:pPr>
      <w:numPr>
        <w:numId w:val="5"/>
      </w:numPr>
    </w:pPr>
  </w:style>
  <w:style w:type="paragraph" w:styleId="aff">
    <w:name w:val="List Continue"/>
    <w:basedOn w:val="a1"/>
    <w:qFormat/>
    <w:pPr>
      <w:spacing w:after="120"/>
      <w:ind w:leftChars="200" w:left="420"/>
    </w:pPr>
  </w:style>
  <w:style w:type="paragraph" w:styleId="28">
    <w:name w:val="List Continue 2"/>
    <w:basedOn w:val="a1"/>
    <w:qFormat/>
    <w:pPr>
      <w:spacing w:after="120"/>
      <w:ind w:leftChars="400" w:left="840"/>
    </w:pPr>
  </w:style>
  <w:style w:type="paragraph" w:styleId="36">
    <w:name w:val="List Continue 3"/>
    <w:basedOn w:val="a1"/>
    <w:pPr>
      <w:spacing w:after="120"/>
      <w:ind w:leftChars="600" w:left="1260"/>
    </w:pPr>
  </w:style>
  <w:style w:type="paragraph" w:styleId="44">
    <w:name w:val="List Continue 4"/>
    <w:basedOn w:val="a1"/>
    <w:qFormat/>
    <w:pPr>
      <w:spacing w:after="120"/>
      <w:ind w:leftChars="800" w:left="1680"/>
    </w:pPr>
  </w:style>
  <w:style w:type="paragraph" w:styleId="54">
    <w:name w:val="List Continue 5"/>
    <w:basedOn w:val="a1"/>
    <w:pPr>
      <w:spacing w:after="120"/>
      <w:ind w:leftChars="1000" w:left="2100"/>
    </w:pPr>
  </w:style>
  <w:style w:type="paragraph" w:styleId="a">
    <w:name w:val="List Number"/>
    <w:basedOn w:val="a1"/>
    <w:qFormat/>
    <w:pPr>
      <w:numPr>
        <w:numId w:val="6"/>
      </w:numPr>
    </w:pPr>
  </w:style>
  <w:style w:type="paragraph" w:styleId="2">
    <w:name w:val="List Number 2"/>
    <w:basedOn w:val="a1"/>
    <w:qFormat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qFormat/>
    <w:pPr>
      <w:numPr>
        <w:numId w:val="10"/>
      </w:numPr>
    </w:pPr>
  </w:style>
  <w:style w:type="paragraph" w:styleId="aff0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aff1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aff2">
    <w:name w:val="Normal (Web)"/>
    <w:basedOn w:val="a1"/>
    <w:qFormat/>
    <w:rPr>
      <w:sz w:val="24"/>
      <w:szCs w:val="24"/>
    </w:rPr>
  </w:style>
  <w:style w:type="paragraph" w:styleId="aff3">
    <w:name w:val="Normal Indent"/>
    <w:basedOn w:val="a1"/>
    <w:pPr>
      <w:ind w:firstLineChars="200" w:firstLine="420"/>
    </w:pPr>
  </w:style>
  <w:style w:type="paragraph" w:styleId="aff4">
    <w:name w:val="Note Heading"/>
    <w:basedOn w:val="a1"/>
    <w:next w:val="a1"/>
    <w:pPr>
      <w:jc w:val="center"/>
    </w:pPr>
  </w:style>
  <w:style w:type="character" w:styleId="aff5">
    <w:name w:val="page number"/>
    <w:basedOn w:val="a2"/>
    <w:qFormat/>
  </w:style>
  <w:style w:type="paragraph" w:styleId="aff6">
    <w:name w:val="Plain Text"/>
    <w:basedOn w:val="a1"/>
    <w:rPr>
      <w:rFonts w:ascii="SimSun" w:hAnsi="Courier New" w:cs="Courier New"/>
      <w:szCs w:val="21"/>
    </w:rPr>
  </w:style>
  <w:style w:type="paragraph" w:styleId="aff7">
    <w:name w:val="Salutation"/>
    <w:basedOn w:val="a1"/>
    <w:next w:val="a1"/>
    <w:qFormat/>
  </w:style>
  <w:style w:type="paragraph" w:styleId="aff8">
    <w:name w:val="Signature"/>
    <w:basedOn w:val="a1"/>
    <w:qFormat/>
    <w:pPr>
      <w:ind w:leftChars="2100" w:left="100"/>
    </w:pPr>
  </w:style>
  <w:style w:type="character" w:styleId="aff9">
    <w:name w:val="Strong"/>
    <w:basedOn w:val="a2"/>
    <w:qFormat/>
    <w:rPr>
      <w:b/>
      <w:bCs/>
    </w:rPr>
  </w:style>
  <w:style w:type="paragraph" w:styleId="affa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11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9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lassic 3"/>
    <w:basedOn w:val="a3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3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b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4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b">
    <w:name w:val="Table Contemporary"/>
    <w:basedOn w:val="a3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c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d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d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2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3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e">
    <w:name w:val="table of authorities"/>
    <w:basedOn w:val="a1"/>
    <w:next w:val="a1"/>
    <w:qFormat/>
    <w:pPr>
      <w:ind w:leftChars="200" w:left="420"/>
    </w:pPr>
  </w:style>
  <w:style w:type="paragraph" w:styleId="afff">
    <w:name w:val="table of figures"/>
    <w:basedOn w:val="a1"/>
    <w:next w:val="a1"/>
    <w:qFormat/>
    <w:pPr>
      <w:ind w:leftChars="200" w:left="200" w:hangingChars="200" w:hanging="200"/>
    </w:pPr>
  </w:style>
  <w:style w:type="table" w:styleId="afff0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20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-30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3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8">
    <w:name w:val="toc 1"/>
    <w:basedOn w:val="a1"/>
    <w:next w:val="a1"/>
    <w:qFormat/>
  </w:style>
  <w:style w:type="paragraph" w:styleId="2f0">
    <w:name w:val="toc 2"/>
    <w:basedOn w:val="a1"/>
    <w:next w:val="a1"/>
    <w:qFormat/>
    <w:pPr>
      <w:ind w:leftChars="200" w:left="420"/>
    </w:pPr>
  </w:style>
  <w:style w:type="paragraph" w:styleId="3d">
    <w:name w:val="toc 3"/>
    <w:basedOn w:val="a1"/>
    <w:next w:val="a1"/>
    <w:qFormat/>
    <w:pPr>
      <w:ind w:leftChars="400" w:left="840"/>
    </w:pPr>
  </w:style>
  <w:style w:type="paragraph" w:styleId="48">
    <w:name w:val="toc 4"/>
    <w:basedOn w:val="a1"/>
    <w:next w:val="a1"/>
    <w:qFormat/>
    <w:pPr>
      <w:ind w:leftChars="600" w:left="1260"/>
    </w:pPr>
  </w:style>
  <w:style w:type="paragraph" w:styleId="57">
    <w:name w:val="toc 5"/>
    <w:basedOn w:val="a1"/>
    <w:next w:val="a1"/>
    <w:qFormat/>
    <w:pPr>
      <w:ind w:leftChars="800" w:left="1680"/>
    </w:pPr>
  </w:style>
  <w:style w:type="paragraph" w:styleId="62">
    <w:name w:val="toc 6"/>
    <w:basedOn w:val="a1"/>
    <w:next w:val="a1"/>
    <w:qFormat/>
    <w:pPr>
      <w:ind w:leftChars="1000" w:left="2100"/>
    </w:pPr>
  </w:style>
  <w:style w:type="paragraph" w:styleId="72">
    <w:name w:val="toc 7"/>
    <w:basedOn w:val="a1"/>
    <w:next w:val="a1"/>
    <w:qFormat/>
    <w:pPr>
      <w:ind w:leftChars="1200" w:left="2520"/>
    </w:pPr>
  </w:style>
  <w:style w:type="paragraph" w:styleId="82">
    <w:name w:val="toc 8"/>
    <w:basedOn w:val="a1"/>
    <w:next w:val="a1"/>
    <w:qFormat/>
    <w:pPr>
      <w:ind w:leftChars="1400" w:left="2940"/>
    </w:pPr>
  </w:style>
  <w:style w:type="paragraph" w:styleId="91">
    <w:name w:val="toc 9"/>
    <w:basedOn w:val="a1"/>
    <w:next w:val="a1"/>
    <w:qFormat/>
    <w:pPr>
      <w:ind w:leftChars="1600" w:left="3360"/>
    </w:pPr>
  </w:style>
  <w:style w:type="table" w:styleId="afff4">
    <w:name w:val="Light Shading"/>
    <w:basedOn w:val="a3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1">
    <w:name w:val="Light Shading Accent 1"/>
    <w:basedOn w:val="a3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1">
    <w:name w:val="Light Shading Accent 2"/>
    <w:basedOn w:val="a3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1">
    <w:name w:val="Light Shading Accent 3"/>
    <w:basedOn w:val="a3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0">
    <w:name w:val="Light Shading Accent 4"/>
    <w:basedOn w:val="a3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0">
    <w:name w:val="Light Shading Accent 5"/>
    <w:basedOn w:val="a3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0">
    <w:name w:val="Light Shading Accent 6"/>
    <w:basedOn w:val="a3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5">
    <w:name w:val="Light List"/>
    <w:basedOn w:val="a3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3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3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3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3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3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3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6">
    <w:name w:val="Light Grid"/>
    <w:basedOn w:val="a3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3">
    <w:name w:val="Light Grid Accent 1"/>
    <w:basedOn w:val="a3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3">
    <w:name w:val="Light Grid Accent 2"/>
    <w:basedOn w:val="a3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3">
    <w:name w:val="Light Grid Accent 3"/>
    <w:basedOn w:val="a3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2">
    <w:name w:val="Light Grid Accent 4"/>
    <w:basedOn w:val="a3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2">
    <w:name w:val="Light Grid Accent 5"/>
    <w:basedOn w:val="a3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2">
    <w:name w:val="Light Grid Accent 6"/>
    <w:basedOn w:val="a3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9">
    <w:name w:val="Medium Shading 1"/>
    <w:basedOn w:val="a3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3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2">
    <w:name w:val="Medium List 2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3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3">
    <w:name w:val="Medium Grid 2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e">
    <w:name w:val="Medium Grid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7">
    <w:name w:val="Dark List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8">
    <w:name w:val="Colorful Shading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3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3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3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3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9">
    <w:name w:val="Colorful List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6">
    <w:name w:val="Colorful List Accent 1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6">
    <w:name w:val="Colorful List Accent 2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6">
    <w:name w:val="Colorful List Accent 3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5">
    <w:name w:val="Colorful List Accent 4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5">
    <w:name w:val="Colorful List Accent 5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5">
    <w:name w:val="Colorful List Accent 6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a">
    <w:name w:val="Colorful Grid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7">
    <w:name w:val="Colorful Grid Accent 1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7">
    <w:name w:val="Colorful Grid Accent 2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7">
    <w:name w:val="Colorful Grid Accent 3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6">
    <w:name w:val="Colorful Grid Accent 4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6">
    <w:name w:val="Colorful Grid Accent 5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6">
    <w:name w:val="Colorful Grid Accent 6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4624</Characters>
  <Application>Microsoft Office Word</Application>
  <DocSecurity>0</DocSecurity>
  <Lines>220</Lines>
  <Paragraphs>135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WPS_1762370175</dc:creator>
  <cp:lastModifiedBy>валентина олейник</cp:lastModifiedBy>
  <cp:revision>2</cp:revision>
  <dcterms:created xsi:type="dcterms:W3CDTF">2026-05-15T14:20:00Z</dcterms:created>
  <dcterms:modified xsi:type="dcterms:W3CDTF">2026-05-15T14:20:00Z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383C74F038BF0A530E8A9C69EC18C092_43</vt:lpwstr>
  </property>
</Properties>
</file>