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B54089" w14:textId="7C17A176" w:rsidR="00C320BB" w:rsidRDefault="00E93319">
      <w:pPr>
        <w:pStyle w:val="a5"/>
        <w:widowControl/>
        <w:spacing w:beforeAutospacing="0" w:afterAutospacing="0"/>
        <w:jc w:val="center"/>
        <w:rPr>
          <w:rStyle w:val="a8"/>
          <w:rFonts w:ascii="Times New Roman" w:eastAsia="Segoe UI" w:hAnsi="Times New Roman"/>
          <w:color w:val="000000" w:themeColor="text1"/>
        </w:rPr>
      </w:pPr>
      <w:r>
        <w:rPr>
          <w:rStyle w:val="a8"/>
          <w:rFonts w:ascii="Times New Roman" w:eastAsia="Segoe UI" w:hAnsi="Times New Roman"/>
          <w:color w:val="000000" w:themeColor="text1"/>
        </w:rPr>
        <w:t>Diversity of Testate Amoebae from tundra landscape: Environmental Drivers and Community Structure</w:t>
      </w:r>
    </w:p>
    <w:p w14:paraId="319A398F" w14:textId="47849BEB" w:rsidR="00C33C19" w:rsidRDefault="00C33C19">
      <w:pPr>
        <w:pStyle w:val="a5"/>
        <w:widowControl/>
        <w:spacing w:beforeAutospacing="0" w:afterAutospacing="0"/>
        <w:jc w:val="center"/>
        <w:rPr>
          <w:rStyle w:val="a8"/>
          <w:rFonts w:ascii="Times New Roman" w:eastAsia="Segoe UI" w:hAnsi="Times New Roman"/>
          <w:i/>
          <w:iCs/>
          <w:color w:val="000000" w:themeColor="text1"/>
          <w:vertAlign w:val="superscript"/>
        </w:rPr>
      </w:pPr>
      <w:r>
        <w:rPr>
          <w:rStyle w:val="a8"/>
          <w:rFonts w:ascii="Times New Roman" w:eastAsia="Segoe UI" w:hAnsi="Times New Roman"/>
          <w:i/>
          <w:iCs/>
          <w:color w:val="000000" w:themeColor="text1"/>
        </w:rPr>
        <w:t>Xu Yiwen</w:t>
      </w:r>
      <w:r w:rsidRPr="00C33C19">
        <w:rPr>
          <w:rStyle w:val="a8"/>
          <w:rFonts w:ascii="Times New Roman" w:eastAsia="Segoe UI" w:hAnsi="Times New Roman"/>
          <w:i/>
          <w:iCs/>
          <w:color w:val="000000" w:themeColor="text1"/>
          <w:vertAlign w:val="superscript"/>
        </w:rPr>
        <w:t>1</w:t>
      </w:r>
      <w:r>
        <w:rPr>
          <w:rStyle w:val="a8"/>
          <w:rFonts w:ascii="Times New Roman" w:eastAsia="Segoe UI" w:hAnsi="Times New Roman"/>
          <w:i/>
          <w:iCs/>
          <w:color w:val="000000" w:themeColor="text1"/>
        </w:rPr>
        <w:t>, Babeshko Kirill</w:t>
      </w:r>
      <w:r w:rsidRPr="00C33C19">
        <w:rPr>
          <w:rStyle w:val="a8"/>
          <w:rFonts w:ascii="Times New Roman" w:eastAsia="Segoe UI" w:hAnsi="Times New Roman"/>
          <w:i/>
          <w:iCs/>
          <w:color w:val="000000" w:themeColor="text1"/>
          <w:vertAlign w:val="superscript"/>
        </w:rPr>
        <w:t>1,2</w:t>
      </w:r>
    </w:p>
    <w:p w14:paraId="78812D4E" w14:textId="64955FC9" w:rsidR="00C33C19" w:rsidRPr="00C33C19" w:rsidRDefault="00C33C19">
      <w:pPr>
        <w:pStyle w:val="a5"/>
        <w:widowControl/>
        <w:spacing w:beforeAutospacing="0" w:afterAutospacing="0"/>
        <w:jc w:val="center"/>
        <w:rPr>
          <w:rStyle w:val="a8"/>
          <w:rFonts w:ascii="Times New Roman" w:eastAsia="Segoe UI" w:hAnsi="Times New Roman"/>
          <w:b w:val="0"/>
          <w:bCs/>
          <w:i/>
          <w:iCs/>
          <w:color w:val="000000" w:themeColor="text1"/>
        </w:rPr>
      </w:pPr>
      <w:r>
        <w:rPr>
          <w:rStyle w:val="a8"/>
          <w:rFonts w:ascii="Times New Roman" w:eastAsia="Segoe UI" w:hAnsi="Times New Roman"/>
          <w:b w:val="0"/>
          <w:bCs/>
          <w:i/>
          <w:iCs/>
          <w:color w:val="000000" w:themeColor="text1"/>
        </w:rPr>
        <w:t>G</w:t>
      </w:r>
      <w:r w:rsidRPr="00C33C19">
        <w:rPr>
          <w:rStyle w:val="a8"/>
          <w:rFonts w:ascii="Times New Roman" w:eastAsia="Segoe UI" w:hAnsi="Times New Roman"/>
          <w:b w:val="0"/>
          <w:bCs/>
          <w:i/>
          <w:iCs/>
          <w:color w:val="000000" w:themeColor="text1"/>
        </w:rPr>
        <w:t>raduate student</w:t>
      </w:r>
    </w:p>
    <w:p w14:paraId="455E62FC" w14:textId="521E892C" w:rsidR="00C33C19" w:rsidRDefault="00C33C19">
      <w:pPr>
        <w:pStyle w:val="a5"/>
        <w:widowControl/>
        <w:spacing w:beforeAutospacing="0" w:afterAutospacing="0"/>
        <w:jc w:val="center"/>
        <w:rPr>
          <w:rStyle w:val="a8"/>
          <w:rFonts w:ascii="Times New Roman" w:eastAsia="Segoe UI" w:hAnsi="Times New Roman"/>
          <w:b w:val="0"/>
          <w:bCs/>
          <w:i/>
          <w:iCs/>
          <w:color w:val="000000" w:themeColor="text1"/>
        </w:rPr>
      </w:pPr>
      <w:r w:rsidRPr="00C33C19">
        <w:rPr>
          <w:rStyle w:val="a8"/>
          <w:rFonts w:ascii="Times New Roman" w:eastAsia="Segoe UI" w:hAnsi="Times New Roman"/>
          <w:b w:val="0"/>
          <w:bCs/>
          <w:i/>
          <w:iCs/>
          <w:color w:val="000000" w:themeColor="text1"/>
          <w:vertAlign w:val="superscript"/>
        </w:rPr>
        <w:t>1</w:t>
      </w:r>
      <w:r>
        <w:rPr>
          <w:rStyle w:val="a8"/>
          <w:rFonts w:ascii="Times New Roman" w:eastAsia="Segoe UI" w:hAnsi="Times New Roman"/>
          <w:b w:val="0"/>
          <w:bCs/>
          <w:i/>
          <w:iCs/>
          <w:color w:val="000000" w:themeColor="text1"/>
        </w:rPr>
        <w:t>Shenzhen MSU-BIT University, Shenzhen, China</w:t>
      </w:r>
    </w:p>
    <w:p w14:paraId="5C93F5F7" w14:textId="53E200DB" w:rsidR="00C33C19" w:rsidRDefault="00C33C19">
      <w:pPr>
        <w:pStyle w:val="a5"/>
        <w:widowControl/>
        <w:spacing w:beforeAutospacing="0" w:afterAutospacing="0"/>
        <w:jc w:val="center"/>
        <w:rPr>
          <w:rStyle w:val="a8"/>
          <w:rFonts w:ascii="Times New Roman" w:eastAsia="Segoe UI" w:hAnsi="Times New Roman"/>
          <w:b w:val="0"/>
          <w:bCs/>
          <w:i/>
          <w:iCs/>
          <w:color w:val="000000" w:themeColor="text1"/>
        </w:rPr>
      </w:pPr>
      <w:r w:rsidRPr="00C33C19">
        <w:rPr>
          <w:rStyle w:val="a8"/>
          <w:rFonts w:ascii="Times New Roman" w:eastAsia="Segoe UI" w:hAnsi="Times New Roman"/>
          <w:b w:val="0"/>
          <w:bCs/>
          <w:i/>
          <w:iCs/>
          <w:color w:val="000000" w:themeColor="text1"/>
          <w:vertAlign w:val="superscript"/>
        </w:rPr>
        <w:t>2</w:t>
      </w:r>
      <w:r>
        <w:rPr>
          <w:rStyle w:val="a8"/>
          <w:rFonts w:ascii="Times New Roman" w:eastAsia="Segoe UI" w:hAnsi="Times New Roman"/>
          <w:b w:val="0"/>
          <w:bCs/>
          <w:i/>
          <w:iCs/>
          <w:color w:val="000000" w:themeColor="text1"/>
        </w:rPr>
        <w:t>Lomonosov Moscow State University, Moscow, Russia</w:t>
      </w:r>
    </w:p>
    <w:p w14:paraId="71AC9BC4" w14:textId="280B3C8C" w:rsidR="00C33C19" w:rsidRPr="00C33C19" w:rsidRDefault="00C33C19">
      <w:pPr>
        <w:pStyle w:val="a5"/>
        <w:widowControl/>
        <w:spacing w:beforeAutospacing="0" w:afterAutospacing="0"/>
        <w:jc w:val="center"/>
        <w:rPr>
          <w:rFonts w:ascii="Times New Roman" w:eastAsia="Segoe UI" w:hAnsi="Times New Roman"/>
          <w:bCs/>
          <w:i/>
          <w:iCs/>
          <w:color w:val="000000" w:themeColor="text1"/>
        </w:rPr>
      </w:pPr>
      <w:r>
        <w:rPr>
          <w:rStyle w:val="a8"/>
          <w:rFonts w:ascii="Times New Roman" w:eastAsia="Segoe UI" w:hAnsi="Times New Roman"/>
          <w:b w:val="0"/>
          <w:bCs/>
          <w:i/>
          <w:iCs/>
          <w:color w:val="000000" w:themeColor="text1"/>
        </w:rPr>
        <w:t>E-mail:</w:t>
      </w:r>
      <w:r w:rsidRPr="00C33C19">
        <w:t xml:space="preserve"> </w:t>
      </w:r>
      <w:r w:rsidRPr="00C33C19">
        <w:rPr>
          <w:rStyle w:val="a8"/>
          <w:rFonts w:ascii="Times New Roman" w:eastAsia="Segoe UI" w:hAnsi="Times New Roman"/>
          <w:b w:val="0"/>
          <w:bCs/>
          <w:i/>
          <w:iCs/>
          <w:color w:val="000000" w:themeColor="text1"/>
        </w:rPr>
        <w:t>1164044813@qq.com</w:t>
      </w:r>
    </w:p>
    <w:p w14:paraId="320B88B9" w14:textId="77777777" w:rsidR="00C320BB" w:rsidRDefault="00E93319">
      <w:pPr>
        <w:pStyle w:val="a5"/>
        <w:widowControl/>
        <w:adjustRightInd w:val="0"/>
        <w:spacing w:beforeAutospacing="0" w:afterAutospacing="0"/>
        <w:ind w:leftChars="14" w:left="29" w:firstLine="391"/>
        <w:jc w:val="both"/>
        <w:rPr>
          <w:rFonts w:ascii="Times New Roman" w:eastAsia="Segoe UI" w:hAnsi="Times New Roman"/>
          <w:color w:val="000000" w:themeColor="text1"/>
        </w:rPr>
      </w:pPr>
      <w:r>
        <w:rPr>
          <w:rFonts w:ascii="Times New Roman" w:eastAsia="Segoe UI" w:hAnsi="Times New Roman"/>
          <w:color w:val="000000" w:themeColor="text1"/>
        </w:rPr>
        <w:t>This study investigates the diversity of testate amoebae in Arctic tundra ecosystems, focusing on the effects of various environmental variables, such as permafrost depth, mo</w:t>
      </w:r>
      <w:r>
        <w:rPr>
          <w:rFonts w:ascii="Times New Roman" w:eastAsia="Segoe UI" w:hAnsi="Times New Roman"/>
          <w:color w:val="000000" w:themeColor="text1"/>
        </w:rPr>
        <w:t>isture content, dissolved organic carbon (DOC), dissolved organic nitrogen (DON), and organic matter content (OMC). We used mixed-effects models and stepwise regression to analyze species richness (S), Shannon diversity (D), and evenness (E), across two so</w:t>
      </w:r>
      <w:r>
        <w:rPr>
          <w:rFonts w:ascii="Times New Roman" w:eastAsia="Segoe UI" w:hAnsi="Times New Roman"/>
          <w:color w:val="000000" w:themeColor="text1"/>
        </w:rPr>
        <w:t>il layers, one with living moss and the other with dead moss.</w:t>
      </w:r>
    </w:p>
    <w:p w14:paraId="7D15CE3B" w14:textId="4AE5EBCC" w:rsidR="00C320BB" w:rsidRDefault="00E93319">
      <w:pPr>
        <w:pStyle w:val="a5"/>
        <w:widowControl/>
        <w:adjustRightInd w:val="0"/>
        <w:spacing w:beforeAutospacing="0" w:afterAutospacing="0"/>
        <w:ind w:leftChars="14" w:left="29" w:firstLine="391"/>
        <w:jc w:val="both"/>
        <w:rPr>
          <w:rFonts w:ascii="Times New Roman" w:eastAsia="SimSun" w:hAnsi="Times New Roman"/>
          <w:color w:val="000000" w:themeColor="text1"/>
        </w:rPr>
      </w:pPr>
      <w:r>
        <w:rPr>
          <w:rFonts w:ascii="Times New Roman" w:eastAsia="Segoe UI" w:hAnsi="Times New Roman"/>
          <w:color w:val="000000" w:themeColor="text1"/>
        </w:rPr>
        <w:t xml:space="preserve">Fieldwork was conducted in July 2023 on the Yamal Peninsula (66.54–66.71°N, 66.22–66.73°E), a region dominated by permafrost and characterized by shrub tundra, with many </w:t>
      </w:r>
      <w:proofErr w:type="spellStart"/>
      <w:r>
        <w:rPr>
          <w:rFonts w:ascii="Times New Roman" w:eastAsia="Segoe UI" w:hAnsi="Times New Roman"/>
          <w:color w:val="000000" w:themeColor="text1"/>
        </w:rPr>
        <w:t>thermokarst</w:t>
      </w:r>
      <w:proofErr w:type="spellEnd"/>
      <w:r>
        <w:rPr>
          <w:rFonts w:ascii="Times New Roman" w:eastAsia="Segoe UI" w:hAnsi="Times New Roman"/>
          <w:color w:val="000000" w:themeColor="text1"/>
        </w:rPr>
        <w:t xml:space="preserve"> lakes and pe</w:t>
      </w:r>
      <w:r>
        <w:rPr>
          <w:rFonts w:ascii="Times New Roman" w:eastAsia="Segoe UI" w:hAnsi="Times New Roman"/>
          <w:color w:val="000000" w:themeColor="text1"/>
        </w:rPr>
        <w:t>atlands. Sampling covered 24 points, representing a variety of microrelief features and vegetation types. A total of 48 samples were collected.</w:t>
      </w:r>
      <w:r>
        <w:rPr>
          <w:rFonts w:ascii="Times New Roman" w:eastAsia="SimSun" w:hAnsi="Times New Roman" w:hint="eastAsia"/>
          <w:color w:val="000000" w:themeColor="text1"/>
        </w:rPr>
        <w:t xml:space="preserve"> </w:t>
      </w:r>
      <w:r>
        <w:rPr>
          <w:rFonts w:ascii="Times New Roman" w:eastAsia="Segoe UI" w:hAnsi="Times New Roman"/>
          <w:color w:val="000000" w:themeColor="text1"/>
        </w:rPr>
        <w:t xml:space="preserve">Diversity indices (S, D, E) were calculated using the </w:t>
      </w:r>
      <w:r>
        <w:rPr>
          <w:rStyle w:val="a9"/>
          <w:rFonts w:ascii="Times New Roman" w:eastAsia="Segoe UI" w:hAnsi="Times New Roman"/>
          <w:i w:val="0"/>
          <w:color w:val="000000" w:themeColor="text1"/>
        </w:rPr>
        <w:t>vegan</w:t>
      </w:r>
      <w:r>
        <w:rPr>
          <w:rFonts w:ascii="Times New Roman" w:eastAsia="Segoe UI" w:hAnsi="Times New Roman"/>
          <w:color w:val="000000" w:themeColor="text1"/>
        </w:rPr>
        <w:t xml:space="preserve"> package in R [</w:t>
      </w:r>
      <w:r>
        <w:rPr>
          <w:rFonts w:ascii="Times New Roman" w:eastAsia="Segoe UI" w:hAnsi="Times New Roman"/>
          <w:color w:val="000000" w:themeColor="text1"/>
        </w:rPr>
        <w:t>. Linear mixed-effects models (LMMs) wit</w:t>
      </w:r>
      <w:r>
        <w:rPr>
          <w:rFonts w:ascii="Times New Roman" w:eastAsia="Segoe UI" w:hAnsi="Times New Roman"/>
          <w:color w:val="000000" w:themeColor="text1"/>
        </w:rPr>
        <w:t xml:space="preserve">h sampling point as a random effect assessed layer-specific differences. Stepwise regression identified key environmental predictors. </w:t>
      </w:r>
    </w:p>
    <w:p w14:paraId="31BFF18D" w14:textId="6FC74C6C" w:rsidR="00C320BB" w:rsidRDefault="00E93319">
      <w:pPr>
        <w:pStyle w:val="a5"/>
        <w:widowControl/>
        <w:spacing w:beforeAutospacing="0" w:afterAutospacing="0"/>
        <w:ind w:firstLine="397"/>
        <w:jc w:val="both"/>
        <w:rPr>
          <w:rFonts w:ascii="Times New Roman" w:eastAsia="Segoe UI" w:hAnsi="Times New Roman"/>
          <w:color w:val="000000" w:themeColor="text1"/>
        </w:rPr>
      </w:pPr>
      <w:r>
        <w:rPr>
          <w:rFonts w:ascii="Times New Roman" w:eastAsia="Segoe UI" w:hAnsi="Times New Roman"/>
          <w:color w:val="000000" w:themeColor="text1"/>
        </w:rPr>
        <w:t xml:space="preserve">Species richness (S) was significantly lower in the living layer (mean S: 18.3 ± 4.2) compared to the bottom layer (22.5 </w:t>
      </w:r>
      <w:r>
        <w:rPr>
          <w:rFonts w:ascii="Times New Roman" w:eastAsia="Segoe UI" w:hAnsi="Times New Roman"/>
          <w:color w:val="000000" w:themeColor="text1"/>
        </w:rPr>
        <w:t xml:space="preserve">± 4.8; </w:t>
      </w:r>
      <w:r>
        <w:rPr>
          <w:rStyle w:val="a9"/>
          <w:rFonts w:ascii="Times New Roman" w:eastAsia="Segoe UI" w:hAnsi="Times New Roman"/>
          <w:i w:val="0"/>
          <w:color w:val="000000" w:themeColor="text1"/>
        </w:rPr>
        <w:t>p</w:t>
      </w:r>
      <w:r>
        <w:rPr>
          <w:rFonts w:ascii="Times New Roman" w:eastAsia="Segoe UI" w:hAnsi="Times New Roman"/>
          <w:color w:val="000000" w:themeColor="text1"/>
        </w:rPr>
        <w:t xml:space="preserve"> &lt; 0.001).</w:t>
      </w:r>
      <w:r>
        <w:rPr>
          <w:rFonts w:ascii="Times New Roman" w:eastAsia="SimSun" w:hAnsi="Times New Roman" w:hint="eastAsia"/>
          <w:color w:val="000000" w:themeColor="text1"/>
        </w:rPr>
        <w:t xml:space="preserve"> </w:t>
      </w:r>
      <w:r>
        <w:rPr>
          <w:rFonts w:ascii="Times New Roman" w:eastAsia="Segoe UI" w:hAnsi="Times New Roman"/>
          <w:color w:val="000000" w:themeColor="text1"/>
        </w:rPr>
        <w:t>Shannon diversity (D) showed no significant layer effect (</w:t>
      </w:r>
      <w:r>
        <w:rPr>
          <w:rStyle w:val="a9"/>
          <w:rFonts w:ascii="Times New Roman" w:eastAsia="Segoe UI" w:hAnsi="Times New Roman"/>
          <w:i w:val="0"/>
          <w:color w:val="000000" w:themeColor="text1"/>
        </w:rPr>
        <w:t>p</w:t>
      </w:r>
      <w:r>
        <w:rPr>
          <w:rFonts w:ascii="Times New Roman" w:eastAsia="Segoe UI" w:hAnsi="Times New Roman"/>
          <w:color w:val="000000" w:themeColor="text1"/>
        </w:rPr>
        <w:t xml:space="preserve"> = 0.217), but evenness (E) was marginally higher in the living layer.</w:t>
      </w:r>
      <w:r>
        <w:rPr>
          <w:rFonts w:ascii="Times New Roman" w:eastAsia="SimSun" w:hAnsi="Times New Roman" w:hint="eastAsia"/>
          <w:color w:val="000000" w:themeColor="text1"/>
        </w:rPr>
        <w:t xml:space="preserve"> </w:t>
      </w:r>
      <w:r>
        <w:rPr>
          <w:rFonts w:ascii="Times New Roman" w:eastAsia="Segoe UI" w:hAnsi="Times New Roman"/>
          <w:color w:val="000000" w:themeColor="text1"/>
        </w:rPr>
        <w:t>Moisture positively correlated with S (</w:t>
      </w:r>
      <w:r>
        <w:rPr>
          <w:rStyle w:val="a9"/>
          <w:rFonts w:ascii="Times New Roman" w:eastAsia="Segoe UI" w:hAnsi="Times New Roman"/>
          <w:i w:val="0"/>
          <w:color w:val="000000" w:themeColor="text1"/>
        </w:rPr>
        <w:t xml:space="preserve">p </w:t>
      </w:r>
      <w:r>
        <w:rPr>
          <w:rFonts w:ascii="Times New Roman" w:eastAsia="Segoe UI" w:hAnsi="Times New Roman"/>
          <w:color w:val="000000" w:themeColor="text1"/>
        </w:rPr>
        <w:t>&lt; 0.001) in the bottom layer.</w:t>
      </w:r>
      <w:r>
        <w:rPr>
          <w:rFonts w:ascii="Times New Roman" w:eastAsia="SimSun" w:hAnsi="Times New Roman" w:hint="eastAsia"/>
          <w:color w:val="000000" w:themeColor="text1"/>
        </w:rPr>
        <w:t xml:space="preserve"> </w:t>
      </w:r>
      <w:r>
        <w:rPr>
          <w:rFonts w:ascii="Times New Roman" w:eastAsia="Segoe UI" w:hAnsi="Times New Roman"/>
          <w:color w:val="000000" w:themeColor="text1"/>
        </w:rPr>
        <w:t xml:space="preserve">DOC and DON showed no </w:t>
      </w:r>
      <w:r>
        <w:rPr>
          <w:rFonts w:ascii="Times New Roman" w:eastAsia="Segoe UI" w:hAnsi="Times New Roman"/>
          <w:color w:val="000000" w:themeColor="text1"/>
        </w:rPr>
        <w:t>significant effects after stepwise selection.</w:t>
      </w:r>
      <w:r>
        <w:rPr>
          <w:rFonts w:ascii="Times New Roman" w:eastAsia="SimSun" w:hAnsi="Times New Roman" w:hint="eastAsia"/>
          <w:color w:val="000000" w:themeColor="text1"/>
        </w:rPr>
        <w:t xml:space="preserve"> </w:t>
      </w:r>
      <w:r>
        <w:rPr>
          <w:rFonts w:ascii="Times New Roman" w:eastAsia="Segoe UI" w:hAnsi="Times New Roman"/>
          <w:color w:val="000000" w:themeColor="text1"/>
        </w:rPr>
        <w:t>Dominant taxa included</w:t>
      </w:r>
      <w:r w:rsidR="00C33C19" w:rsidRPr="00C33C19">
        <w:rPr>
          <w:rFonts w:ascii="Times New Roman" w:eastAsia="Segoe UI" w:hAnsi="Times New Roman"/>
          <w:color w:val="000000" w:themeColor="text1"/>
        </w:rPr>
        <w:t xml:space="preserve"> </w:t>
      </w:r>
      <w:proofErr w:type="spellStart"/>
      <w:r>
        <w:rPr>
          <w:rStyle w:val="a9"/>
          <w:rFonts w:ascii="Times New Roman" w:eastAsia="Segoe UI" w:hAnsi="Times New Roman"/>
          <w:iCs/>
          <w:color w:val="000000" w:themeColor="text1"/>
        </w:rPr>
        <w:t>Trinema</w:t>
      </w:r>
      <w:proofErr w:type="spellEnd"/>
      <w:r>
        <w:rPr>
          <w:rStyle w:val="a9"/>
          <w:rFonts w:ascii="Times New Roman" w:eastAsia="Segoe UI" w:hAnsi="Times New Roman"/>
          <w:iCs/>
          <w:color w:val="000000" w:themeColor="text1"/>
        </w:rPr>
        <w:t xml:space="preserve"> </w:t>
      </w:r>
      <w:proofErr w:type="spellStart"/>
      <w:r>
        <w:rPr>
          <w:rStyle w:val="a9"/>
          <w:rFonts w:ascii="Times New Roman" w:eastAsia="Segoe UI" w:hAnsi="Times New Roman"/>
          <w:iCs/>
          <w:color w:val="000000" w:themeColor="text1"/>
        </w:rPr>
        <w:t>lineare</w:t>
      </w:r>
      <w:proofErr w:type="spellEnd"/>
      <w:r w:rsidR="00C33C19" w:rsidRPr="00C33C19">
        <w:rPr>
          <w:rFonts w:ascii="Times New Roman" w:eastAsia="Segoe UI" w:hAnsi="Times New Roman"/>
          <w:color w:val="000000" w:themeColor="text1"/>
        </w:rPr>
        <w:t xml:space="preserve"> </w:t>
      </w:r>
      <w:r>
        <w:rPr>
          <w:rFonts w:ascii="Times New Roman" w:eastAsia="Segoe UI" w:hAnsi="Times New Roman"/>
          <w:color w:val="000000" w:themeColor="text1"/>
        </w:rPr>
        <w:t>(27.5% relative abundance),</w:t>
      </w:r>
      <w:r w:rsidR="00C33C19" w:rsidRPr="00C33C19">
        <w:rPr>
          <w:rFonts w:ascii="Times New Roman" w:eastAsia="Segoe UI" w:hAnsi="Times New Roman"/>
          <w:color w:val="000000" w:themeColor="text1"/>
        </w:rPr>
        <w:t xml:space="preserve"> </w:t>
      </w:r>
      <w:proofErr w:type="spellStart"/>
      <w:r>
        <w:rPr>
          <w:rStyle w:val="a9"/>
          <w:rFonts w:ascii="Times New Roman" w:eastAsia="Segoe UI" w:hAnsi="Times New Roman"/>
          <w:iCs/>
          <w:color w:val="000000" w:themeColor="text1"/>
        </w:rPr>
        <w:t>Meisterfieldia</w:t>
      </w:r>
      <w:proofErr w:type="spellEnd"/>
      <w:r>
        <w:rPr>
          <w:rStyle w:val="a9"/>
          <w:rFonts w:ascii="Times New Roman" w:eastAsia="Segoe UI" w:hAnsi="Times New Roman"/>
          <w:iCs/>
          <w:color w:val="000000" w:themeColor="text1"/>
        </w:rPr>
        <w:t xml:space="preserve"> </w:t>
      </w:r>
      <w:proofErr w:type="spellStart"/>
      <w:r>
        <w:rPr>
          <w:rStyle w:val="a9"/>
          <w:rFonts w:ascii="Times New Roman" w:eastAsia="Segoe UI" w:hAnsi="Times New Roman"/>
          <w:iCs/>
          <w:color w:val="000000" w:themeColor="text1"/>
        </w:rPr>
        <w:t>chibisovi</w:t>
      </w:r>
      <w:proofErr w:type="spellEnd"/>
      <w:r w:rsidR="00C33C19" w:rsidRPr="00C33C19">
        <w:rPr>
          <w:rFonts w:ascii="Times New Roman" w:eastAsia="Segoe UI" w:hAnsi="Times New Roman"/>
          <w:color w:val="000000" w:themeColor="text1"/>
        </w:rPr>
        <w:t xml:space="preserve"> </w:t>
      </w:r>
      <w:r>
        <w:rPr>
          <w:rFonts w:ascii="Times New Roman" w:eastAsia="Segoe UI" w:hAnsi="Times New Roman"/>
          <w:color w:val="000000" w:themeColor="text1"/>
        </w:rPr>
        <w:t>(14.9%), and</w:t>
      </w:r>
      <w:r w:rsidR="00C33C19" w:rsidRPr="00C33C19">
        <w:rPr>
          <w:rFonts w:ascii="Times New Roman" w:eastAsia="Segoe UI" w:hAnsi="Times New Roman"/>
          <w:color w:val="000000" w:themeColor="text1"/>
        </w:rPr>
        <w:t xml:space="preserve"> </w:t>
      </w:r>
      <w:proofErr w:type="spellStart"/>
      <w:r>
        <w:rPr>
          <w:rStyle w:val="a9"/>
          <w:rFonts w:ascii="Times New Roman" w:eastAsia="Segoe UI" w:hAnsi="Times New Roman"/>
          <w:iCs/>
          <w:color w:val="000000" w:themeColor="text1"/>
        </w:rPr>
        <w:t>Assulina</w:t>
      </w:r>
      <w:proofErr w:type="spellEnd"/>
      <w:r>
        <w:rPr>
          <w:rStyle w:val="a9"/>
          <w:rFonts w:ascii="Times New Roman" w:eastAsia="Segoe UI" w:hAnsi="Times New Roman"/>
          <w:iCs/>
          <w:color w:val="000000" w:themeColor="text1"/>
        </w:rPr>
        <w:t xml:space="preserve"> </w:t>
      </w:r>
      <w:proofErr w:type="spellStart"/>
      <w:r>
        <w:rPr>
          <w:rStyle w:val="a9"/>
          <w:rFonts w:ascii="Times New Roman" w:eastAsia="Segoe UI" w:hAnsi="Times New Roman"/>
          <w:iCs/>
          <w:color w:val="000000" w:themeColor="text1"/>
        </w:rPr>
        <w:t>muscorum</w:t>
      </w:r>
      <w:proofErr w:type="spellEnd"/>
      <w:r w:rsidR="00C33C19" w:rsidRPr="00C33C19">
        <w:rPr>
          <w:rFonts w:ascii="Times New Roman" w:eastAsia="Segoe UI" w:hAnsi="Times New Roman"/>
          <w:i/>
          <w:iCs/>
          <w:color w:val="000000" w:themeColor="text1"/>
        </w:rPr>
        <w:t xml:space="preserve"> </w:t>
      </w:r>
      <w:r>
        <w:rPr>
          <w:rFonts w:ascii="Times New Roman" w:eastAsia="Segoe UI" w:hAnsi="Times New Roman"/>
          <w:color w:val="000000" w:themeColor="text1"/>
        </w:rPr>
        <w:t>(7.9%). Eight rare taxa occurred in only one sample.</w:t>
      </w:r>
    </w:p>
    <w:p w14:paraId="2BA27D80" w14:textId="4196F575" w:rsidR="00C320BB" w:rsidRDefault="00E93319">
      <w:pPr>
        <w:pStyle w:val="a5"/>
        <w:widowControl/>
        <w:spacing w:beforeAutospacing="0" w:afterAutospacing="0"/>
        <w:ind w:firstLine="397"/>
        <w:jc w:val="both"/>
        <w:rPr>
          <w:rFonts w:ascii="Times New Roman" w:eastAsia="Segoe UI" w:hAnsi="Times New Roman"/>
          <w:color w:val="000000" w:themeColor="text1"/>
        </w:rPr>
      </w:pPr>
      <w:r>
        <w:rPr>
          <w:rFonts w:ascii="Times New Roman" w:eastAsia="Segoe UI" w:hAnsi="Times New Roman"/>
          <w:color w:val="000000" w:themeColor="text1"/>
        </w:rPr>
        <w:t>The observed layer-specific diversity patterns likely reflect microhabitat heterogeneity. Higher moisture in bottom layers may support greater species richness by enhancing microbial activity</w:t>
      </w:r>
      <w:r>
        <w:rPr>
          <w:rFonts w:ascii="Times New Roman" w:eastAsia="Segoe UI" w:hAnsi="Times New Roman"/>
          <w:color w:val="000000" w:themeColor="text1"/>
        </w:rPr>
        <w:t>. Notably, the random effect of sampling point explained &gt;45% of variance in</w:t>
      </w:r>
      <w:r>
        <w:rPr>
          <w:rFonts w:ascii="Times New Roman" w:eastAsia="SimSun" w:hAnsi="Times New Roman" w:hint="eastAsia"/>
          <w:color w:val="000000" w:themeColor="text1"/>
        </w:rPr>
        <w:t xml:space="preserve"> mixed</w:t>
      </w:r>
      <w:r>
        <w:rPr>
          <w:rFonts w:ascii="Times New Roman" w:eastAsia="Segoe UI" w:hAnsi="Times New Roman"/>
          <w:color w:val="000000" w:themeColor="text1"/>
        </w:rPr>
        <w:t xml:space="preserve"> models (</w:t>
      </w:r>
      <w:r>
        <w:rPr>
          <w:rStyle w:val="a9"/>
          <w:rFonts w:ascii="Times New Roman" w:eastAsia="Segoe UI" w:hAnsi="Times New Roman"/>
          <w:i w:val="0"/>
          <w:color w:val="000000" w:themeColor="text1"/>
        </w:rPr>
        <w:t>R²c</w:t>
      </w:r>
      <w:r>
        <w:rPr>
          <w:rFonts w:ascii="Times New Roman" w:eastAsia="Segoe UI" w:hAnsi="Times New Roman"/>
          <w:color w:val="000000" w:themeColor="text1"/>
        </w:rPr>
        <w:t> = 0.47 for S), underscoring spatial heterogeneity in tundra landscapes</w:t>
      </w:r>
      <w:r>
        <w:rPr>
          <w:rFonts w:ascii="Times New Roman" w:eastAsia="Segoe UI" w:hAnsi="Times New Roman"/>
          <w:color w:val="000000" w:themeColor="text1"/>
        </w:rPr>
        <w:t>.</w:t>
      </w:r>
    </w:p>
    <w:p w14:paraId="13B551B9" w14:textId="77777777" w:rsidR="00C320BB" w:rsidRDefault="00E93319">
      <w:pPr>
        <w:pStyle w:val="a5"/>
        <w:widowControl/>
        <w:spacing w:beforeAutospacing="0" w:afterAutospacing="0"/>
        <w:ind w:firstLine="397"/>
        <w:jc w:val="both"/>
        <w:rPr>
          <w:rFonts w:ascii="Times New Roman" w:eastAsia="Segoe UI" w:hAnsi="Times New Roman"/>
          <w:color w:val="000000" w:themeColor="text1"/>
        </w:rPr>
      </w:pPr>
      <w:r>
        <w:rPr>
          <w:rFonts w:ascii="Times New Roman" w:eastAsia="Segoe UI" w:hAnsi="Times New Roman"/>
          <w:color w:val="000000" w:themeColor="text1"/>
        </w:rPr>
        <w:t xml:space="preserve">Results revealed significant differences in </w:t>
      </w:r>
      <w:r>
        <w:rPr>
          <w:rFonts w:ascii="Times New Roman" w:eastAsia="SimSun" w:hAnsi="Times New Roman" w:hint="eastAsia"/>
          <w:color w:val="000000" w:themeColor="text1"/>
        </w:rPr>
        <w:t>species richness</w:t>
      </w:r>
      <w:r>
        <w:rPr>
          <w:rFonts w:ascii="Times New Roman" w:eastAsia="Segoe UI" w:hAnsi="Times New Roman"/>
          <w:color w:val="000000" w:themeColor="text1"/>
        </w:rPr>
        <w:t xml:space="preserve"> metric </w:t>
      </w:r>
      <w:r>
        <w:rPr>
          <w:rFonts w:ascii="Times New Roman" w:eastAsia="Segoe UI" w:hAnsi="Times New Roman"/>
          <w:color w:val="000000" w:themeColor="text1"/>
        </w:rPr>
        <w:t>between layers, with moisture and organic matter emerging as key predictors. These findings highlight the sensitivity of testate amoebae to microhabitat conditions in permafrost-dominat</w:t>
      </w:r>
      <w:r>
        <w:rPr>
          <w:rFonts w:ascii="Times New Roman" w:eastAsia="Segoe UI" w:hAnsi="Times New Roman"/>
          <w:color w:val="000000" w:themeColor="text1"/>
        </w:rPr>
        <w:t>ed landscapes.</w:t>
      </w:r>
    </w:p>
    <w:p w14:paraId="2E0CDEDB" w14:textId="77777777" w:rsidR="00C320BB" w:rsidRDefault="00E93319" w:rsidP="00E93319">
      <w:pPr>
        <w:pStyle w:val="a5"/>
        <w:widowControl/>
        <w:spacing w:beforeAutospacing="0" w:afterAutospacing="0"/>
        <w:jc w:val="center"/>
        <w:rPr>
          <w:rStyle w:val="a8"/>
          <w:rFonts w:ascii="Times New Roman" w:eastAsia="Segoe UI" w:hAnsi="Times New Roman"/>
          <w:color w:val="000000" w:themeColor="text1"/>
        </w:rPr>
      </w:pPr>
      <w:r>
        <w:rPr>
          <w:rStyle w:val="a8"/>
          <w:rFonts w:ascii="Times New Roman" w:eastAsia="Segoe UI" w:hAnsi="Times New Roman"/>
          <w:color w:val="000000" w:themeColor="text1"/>
        </w:rPr>
        <w:t>Literature</w:t>
      </w:r>
    </w:p>
    <w:p w14:paraId="55984896" w14:textId="0E4B4574" w:rsidR="00E93319" w:rsidRPr="00E93319" w:rsidRDefault="00E93319" w:rsidP="00E9331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Pr="00E93319">
        <w:rPr>
          <w:rFonts w:ascii="Times New Roman" w:hAnsi="Times New Roman" w:cs="Times New Roman"/>
          <w:sz w:val="24"/>
        </w:rPr>
        <w:t>R Core Team (2024). _R: A Language and Environment for Statistical Computing_. R Foundation for Statistical Computing, Vienna, Austria. &lt;https://www.R-project.org/&gt;.</w:t>
      </w:r>
    </w:p>
    <w:p w14:paraId="23217C08" w14:textId="77777777" w:rsidR="00C320BB" w:rsidRDefault="00C320BB">
      <w:pPr>
        <w:rPr>
          <w:rFonts w:ascii="Times New Roman" w:hAnsi="Times New Roman" w:cs="Times New Roman"/>
          <w:color w:val="000000" w:themeColor="text1"/>
          <w:sz w:val="24"/>
        </w:rPr>
      </w:pPr>
    </w:p>
    <w:sectPr w:rsidR="00C320BB">
      <w:pgSz w:w="11906" w:h="16838"/>
      <w:pgMar w:top="1134" w:right="1361" w:bottom="1134" w:left="136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4160D6"/>
    <w:multiLevelType w:val="hybridMultilevel"/>
    <w:tmpl w:val="9DCAF1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D12734A"/>
    <w:rsid w:val="00381E17"/>
    <w:rsid w:val="006A03B5"/>
    <w:rsid w:val="006A1908"/>
    <w:rsid w:val="00C320BB"/>
    <w:rsid w:val="00C33C19"/>
    <w:rsid w:val="00E93319"/>
    <w:rsid w:val="1D12734A"/>
    <w:rsid w:val="2FA1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E1817F6"/>
  <w15:docId w15:val="{1CCFD042-40E0-4A81-AFE0-3C33CF0E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rPr>
      <w:sz w:val="20"/>
      <w:szCs w:val="20"/>
    </w:rPr>
  </w:style>
  <w:style w:type="paragraph" w:styleId="a5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6">
    <w:name w:val="annotation subject"/>
    <w:basedOn w:val="a3"/>
    <w:next w:val="a3"/>
    <w:link w:val="a7"/>
    <w:qFormat/>
    <w:rPr>
      <w:b/>
      <w:bCs/>
    </w:rPr>
  </w:style>
  <w:style w:type="character" w:styleId="a8">
    <w:name w:val="Strong"/>
    <w:basedOn w:val="a0"/>
    <w:qFormat/>
    <w:rPr>
      <w:b/>
    </w:rPr>
  </w:style>
  <w:style w:type="character" w:styleId="a9">
    <w:name w:val="Emphasis"/>
    <w:basedOn w:val="a0"/>
    <w:qFormat/>
    <w:rPr>
      <w:i/>
    </w:rPr>
  </w:style>
  <w:style w:type="character" w:styleId="aa">
    <w:name w:val="annotation reference"/>
    <w:basedOn w:val="a0"/>
    <w:rPr>
      <w:sz w:val="16"/>
      <w:szCs w:val="16"/>
    </w:rPr>
  </w:style>
  <w:style w:type="character" w:customStyle="1" w:styleId="a4">
    <w:name w:val="Текст примечания Знак"/>
    <w:basedOn w:val="a0"/>
    <w:link w:val="a3"/>
    <w:rPr>
      <w:rFonts w:asciiTheme="minorHAnsi" w:eastAsiaTheme="minorEastAsia" w:hAnsiTheme="minorHAnsi" w:cstheme="minorBidi"/>
      <w:kern w:val="2"/>
      <w:lang w:val="en-US" w:eastAsia="zh-CN"/>
    </w:rPr>
  </w:style>
  <w:style w:type="character" w:customStyle="1" w:styleId="a7">
    <w:name w:val="Тема примечания Знак"/>
    <w:basedOn w:val="a4"/>
    <w:link w:val="a6"/>
    <w:rPr>
      <w:rFonts w:asciiTheme="minorHAnsi" w:eastAsiaTheme="minorEastAsia" w:hAnsiTheme="minorHAnsi" w:cstheme="minorBidi"/>
      <w:b/>
      <w:bCs/>
      <w:kern w:val="2"/>
      <w:lang w:val="en-US" w:eastAsia="zh-CN"/>
    </w:rPr>
  </w:style>
  <w:style w:type="paragraph" w:styleId="ab">
    <w:name w:val="List Paragraph"/>
    <w:basedOn w:val="a"/>
    <w:uiPriority w:val="34"/>
    <w:qFormat/>
    <w:rsid w:val="00E93319"/>
    <w:pPr>
      <w:widowControl/>
      <w:spacing w:after="160" w:line="259" w:lineRule="auto"/>
      <w:ind w:left="720"/>
      <w:contextualSpacing/>
      <w:jc w:val="left"/>
    </w:pPr>
    <w:rPr>
      <w:rFonts w:eastAsiaTheme="minorHAnsi"/>
      <w:kern w:val="0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八重崎律</dc:creator>
  <cp:lastModifiedBy>Kirill</cp:lastModifiedBy>
  <cp:revision>3</cp:revision>
  <dcterms:created xsi:type="dcterms:W3CDTF">2025-03-11T05:04:00Z</dcterms:created>
  <dcterms:modified xsi:type="dcterms:W3CDTF">2025-03-12T08:02:00Z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4657AD8786AA4CF09F308D26CCDEDC3D_11</vt:lpwstr>
  </property>
  <property fmtid="{D5CDD505-2E9C-101B-9397-08002B2CF9AE}" pid="4" name="KSOTemplateDocerSaveRecord">
    <vt:lpwstr>eyJoZGlkIjoiNGQ0Y2IyNWE5NTM2ZThkMWNjMzI2Nzk0OTI5ZGY5MDYiLCJ1c2VySWQiOiI3MTE3NzAyNjQifQ==</vt:lpwstr>
  </property>
</Properties>
</file>