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A931D" w14:textId="77777777" w:rsidR="009D0FA7" w:rsidRPr="009D0FA7" w:rsidRDefault="009D0FA7">
      <w:pPr>
        <w:pStyle w:val="LO-normal"/>
        <w:spacing w:line="240" w:lineRule="auto"/>
        <w:jc w:val="center"/>
        <w:rPr>
          <w:b/>
          <w:bCs/>
          <w:sz w:val="28"/>
          <w:szCs w:val="28"/>
          <w:lang w:val="en-US"/>
        </w:rPr>
      </w:pPr>
      <w:r w:rsidRPr="009D0FA7">
        <w:rPr>
          <w:rFonts w:hint="eastAsia"/>
          <w:b/>
          <w:bCs/>
          <w:sz w:val="28"/>
          <w:szCs w:val="28"/>
        </w:rPr>
        <w:t>T</w:t>
      </w:r>
      <w:r w:rsidRPr="009D0FA7">
        <w:rPr>
          <w:b/>
          <w:bCs/>
          <w:sz w:val="28"/>
          <w:szCs w:val="28"/>
        </w:rPr>
        <w:t xml:space="preserve">he degradation of silk fibroin scaffolds </w:t>
      </w:r>
      <w:r w:rsidRPr="009D0FA7">
        <w:rPr>
          <w:rFonts w:hint="eastAsia"/>
          <w:b/>
          <w:bCs/>
          <w:sz w:val="28"/>
          <w:szCs w:val="28"/>
        </w:rPr>
        <w:t xml:space="preserve">studied </w:t>
      </w:r>
      <w:r w:rsidRPr="009D0FA7">
        <w:rPr>
          <w:b/>
          <w:bCs/>
          <w:sz w:val="28"/>
          <w:szCs w:val="28"/>
        </w:rPr>
        <w:t>by FTIR and Raman spectroscopy</w:t>
      </w:r>
    </w:p>
    <w:p w14:paraId="740BE223" w14:textId="53249DE7" w:rsidR="00327143" w:rsidRDefault="00B1027F">
      <w:pPr>
        <w:pStyle w:val="LO-normal"/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Lu </w:t>
      </w:r>
      <w:proofErr w:type="spellStart"/>
      <w:r>
        <w:rPr>
          <w:b/>
          <w:i/>
        </w:rPr>
        <w:t>Guojing</w:t>
      </w:r>
      <w:proofErr w:type="spellEnd"/>
      <w:r>
        <w:rPr>
          <w:b/>
          <w:i/>
        </w:rPr>
        <w:t xml:space="preserve"> </w:t>
      </w:r>
    </w:p>
    <w:p w14:paraId="06EF3E2C" w14:textId="22F20594" w:rsidR="00327143" w:rsidRDefault="00B1027F">
      <w:pPr>
        <w:pStyle w:val="LO-normal"/>
        <w:spacing w:line="240" w:lineRule="auto"/>
        <w:jc w:val="center"/>
        <w:rPr>
          <w:i/>
        </w:rPr>
      </w:pPr>
      <w:r>
        <w:rPr>
          <w:i/>
        </w:rPr>
        <w:t xml:space="preserve">PhD </w:t>
      </w:r>
      <w:r w:rsidR="009D0FA7">
        <w:rPr>
          <w:rFonts w:hint="eastAsia"/>
          <w:i/>
        </w:rPr>
        <w:t>third</w:t>
      </w:r>
      <w:r>
        <w:rPr>
          <w:i/>
        </w:rPr>
        <w:t>-year student</w:t>
      </w:r>
    </w:p>
    <w:p w14:paraId="2330CF5D" w14:textId="77777777" w:rsidR="00327143" w:rsidRDefault="00B1027F">
      <w:pPr>
        <w:pStyle w:val="LO-normal"/>
        <w:spacing w:line="240" w:lineRule="auto"/>
        <w:jc w:val="center"/>
      </w:pPr>
      <w:r>
        <w:rPr>
          <w:i/>
        </w:rPr>
        <w:t>Shenzhen MSU-BIT University, Shenzhen, China</w:t>
      </w:r>
      <w:r>
        <w:t xml:space="preserve"> </w:t>
      </w:r>
    </w:p>
    <w:p w14:paraId="228FF12A" w14:textId="77777777" w:rsidR="00327143" w:rsidRDefault="00B1027F">
      <w:pPr>
        <w:pStyle w:val="LO-normal"/>
        <w:spacing w:line="240" w:lineRule="auto"/>
        <w:jc w:val="center"/>
        <w:rPr>
          <w:i/>
        </w:rPr>
      </w:pPr>
      <w:r>
        <w:rPr>
          <w:i/>
        </w:rPr>
        <w:t>E-mail: 6420190025@smbu.edu.cn</w:t>
      </w:r>
      <w:bookmarkStart w:id="0" w:name="1t3h5sf"/>
      <w:bookmarkStart w:id="1" w:name="tyjcwt"/>
      <w:bookmarkStart w:id="2" w:name="3znysh7"/>
      <w:bookmarkStart w:id="3" w:name="2et92p0"/>
      <w:bookmarkStart w:id="4" w:name="1fob9te"/>
      <w:bookmarkStart w:id="5" w:name="3dy6vkm"/>
    </w:p>
    <w:bookmarkEnd w:id="0"/>
    <w:bookmarkEnd w:id="1"/>
    <w:bookmarkEnd w:id="2"/>
    <w:bookmarkEnd w:id="3"/>
    <w:bookmarkEnd w:id="4"/>
    <w:bookmarkEnd w:id="5"/>
    <w:p w14:paraId="4DAC753A" w14:textId="77777777" w:rsidR="00087FB1" w:rsidRDefault="00087FB1" w:rsidP="00087FB1">
      <w:pPr>
        <w:pStyle w:val="LO-normal"/>
        <w:spacing w:line="240" w:lineRule="auto"/>
        <w:rPr>
          <w:lang w:val="en-US"/>
        </w:rPr>
      </w:pPr>
    </w:p>
    <w:p w14:paraId="79CC7CAF" w14:textId="2D957597" w:rsidR="00087FB1" w:rsidRPr="0000207A" w:rsidRDefault="00087FB1" w:rsidP="00DC315A">
      <w:pPr>
        <w:pStyle w:val="LO-normal"/>
        <w:spacing w:line="240" w:lineRule="auto"/>
        <w:ind w:firstLineChars="100" w:firstLine="240"/>
        <w:rPr>
          <w:lang w:val="en-US"/>
        </w:rPr>
      </w:pPr>
      <w:r w:rsidRPr="00087FB1">
        <w:rPr>
          <w:lang w:val="en-US"/>
        </w:rPr>
        <w:t>Silk fibroin (SF) material</w:t>
      </w:r>
      <w:r w:rsidRPr="00FF55CA">
        <w:t xml:space="preserve"> </w:t>
      </w:r>
      <w:r w:rsidRPr="00087FB1">
        <w:rPr>
          <w:lang w:val="en-US"/>
        </w:rPr>
        <w:t>exhibit</w:t>
      </w:r>
      <w:r>
        <w:rPr>
          <w:rFonts w:hint="eastAsia"/>
          <w:lang w:val="en-US"/>
        </w:rPr>
        <w:t>s</w:t>
      </w:r>
      <w:r w:rsidRPr="00FF55CA">
        <w:t xml:space="preserve"> </w:t>
      </w:r>
      <w:proofErr w:type="spellStart"/>
      <w:r w:rsidRPr="00087FB1">
        <w:t>favorable</w:t>
      </w:r>
      <w:proofErr w:type="spellEnd"/>
      <w:r w:rsidRPr="00087FB1">
        <w:t xml:space="preserve"> biocompatibility profile</w:t>
      </w:r>
      <w:r w:rsidRPr="00FF55CA">
        <w:t xml:space="preserve">, </w:t>
      </w:r>
      <w:r w:rsidRPr="00087FB1">
        <w:rPr>
          <w:lang w:val="en-US"/>
        </w:rPr>
        <w:t>structural design flexibility, and excellent mechanical properties</w:t>
      </w:r>
      <w:r>
        <w:rPr>
          <w:rFonts w:hint="eastAsia"/>
          <w:lang w:val="en-US"/>
        </w:rPr>
        <w:t xml:space="preserve">, </w:t>
      </w:r>
      <w:r w:rsidRPr="00FF55CA">
        <w:t xml:space="preserve">so </w:t>
      </w:r>
      <w:r>
        <w:rPr>
          <w:rFonts w:hint="eastAsia"/>
        </w:rPr>
        <w:t>it</w:t>
      </w:r>
      <w:r w:rsidRPr="00087FB1">
        <w:rPr>
          <w:lang w:val="en-US"/>
        </w:rPr>
        <w:t xml:space="preserve"> is frequently engineered into regenerative scaffolds</w:t>
      </w:r>
      <w:r w:rsidRPr="00FF55CA">
        <w:t>.</w:t>
      </w:r>
      <w:r>
        <w:rPr>
          <w:rFonts w:hint="eastAsia"/>
        </w:rPr>
        <w:t xml:space="preserve"> </w:t>
      </w:r>
      <w:r w:rsidRPr="00087FB1">
        <w:rPr>
          <w:lang w:val="en-US"/>
        </w:rPr>
        <w:t xml:space="preserve">In tissue engineering, scaffolds serving as temporary extracellular </w:t>
      </w:r>
      <w:r w:rsidR="00823B6C" w:rsidRPr="00823B6C">
        <w:t>matrix</w:t>
      </w:r>
      <w:r w:rsidRPr="00087FB1">
        <w:rPr>
          <w:lang w:val="en-US"/>
        </w:rPr>
        <w:t xml:space="preserve"> for cellular growth must degrade </w:t>
      </w:r>
      <w:r w:rsidR="0000207A">
        <w:rPr>
          <w:rFonts w:hint="eastAsia"/>
          <w:lang w:val="en-US"/>
        </w:rPr>
        <w:t>over time</w:t>
      </w:r>
      <w:r>
        <w:t xml:space="preserve">, </w:t>
      </w:r>
      <w:r w:rsidRPr="00087FB1">
        <w:rPr>
          <w:lang w:val="en-US"/>
        </w:rPr>
        <w:t xml:space="preserve">with degradation rates </w:t>
      </w:r>
      <w:r>
        <w:t>coordinated</w:t>
      </w:r>
      <w:r w:rsidRPr="00087FB1">
        <w:rPr>
          <w:lang w:val="en-US"/>
        </w:rPr>
        <w:t xml:space="preserve"> with tissue regeneration processes</w:t>
      </w:r>
      <w:r>
        <w:rPr>
          <w:rFonts w:hint="eastAsia"/>
          <w:lang w:val="en-US"/>
        </w:rPr>
        <w:t xml:space="preserve">. </w:t>
      </w:r>
      <w:r w:rsidRPr="00087FB1">
        <w:rPr>
          <w:lang w:val="en-US"/>
        </w:rPr>
        <w:t>Although significant progress has been achieved in tissue engineering, modulating scaffold degradation kinetics according to the regenerative capacity of host tissues remains a major challe</w:t>
      </w:r>
      <w:r w:rsidRPr="0000207A">
        <w:rPr>
          <w:lang w:val="en-US"/>
        </w:rPr>
        <w:t>nge</w:t>
      </w:r>
      <w:r w:rsidRPr="0000207A">
        <w:rPr>
          <w:rFonts w:hint="eastAsia"/>
          <w:lang w:val="en-US"/>
        </w:rPr>
        <w:t>.</w:t>
      </w:r>
      <w:r w:rsidR="006461BF" w:rsidRPr="0000207A">
        <w:rPr>
          <w:lang w:val="en-US"/>
        </w:rPr>
        <w:t xml:space="preserve"> To date, most studies have focused on the roles of scaffold properties in cell differentiation and tissue regeneration, while scaffold degradation mechanisms have received comparatively less attention</w:t>
      </w:r>
      <w:r w:rsidR="006461BF" w:rsidRPr="0000207A">
        <w:rPr>
          <w:rFonts w:hint="eastAsia"/>
          <w:lang w:val="en-US"/>
        </w:rPr>
        <w:t>.</w:t>
      </w:r>
    </w:p>
    <w:p w14:paraId="6658E7DD" w14:textId="33A91FC3" w:rsidR="00087FB1" w:rsidRPr="0000207A" w:rsidRDefault="00A84B6A" w:rsidP="00CD7E8B">
      <w:pPr>
        <w:pStyle w:val="LO-normal"/>
        <w:spacing w:line="240" w:lineRule="auto"/>
        <w:ind w:firstLineChars="100" w:firstLine="240"/>
        <w:rPr>
          <w:lang w:val="en-US"/>
        </w:rPr>
      </w:pPr>
      <w:r w:rsidRPr="0000207A">
        <w:rPr>
          <w:lang w:val="en-US"/>
        </w:rPr>
        <w:t>While scaffold degradation kinetics fundamentally determine clinical applicability, current characterization methods lack molecular-level resolution.</w:t>
      </w:r>
      <w:r w:rsidRPr="0000207A">
        <w:rPr>
          <w:rFonts w:hint="eastAsia"/>
          <w:lang w:val="en-US"/>
        </w:rPr>
        <w:t xml:space="preserve"> </w:t>
      </w:r>
      <w:r w:rsidR="00087FB1" w:rsidRPr="0000207A">
        <w:rPr>
          <w:lang w:val="en-US"/>
        </w:rPr>
        <w:t xml:space="preserve">Our study </w:t>
      </w:r>
      <w:r w:rsidR="00CD7E8B" w:rsidRPr="0000207A">
        <w:rPr>
          <w:lang w:val="en-US"/>
        </w:rPr>
        <w:t>systematically investigated</w:t>
      </w:r>
      <w:r w:rsidR="00CD7E8B" w:rsidRPr="0000207A">
        <w:rPr>
          <w:rFonts w:hint="eastAsia"/>
          <w:lang w:val="en-US"/>
        </w:rPr>
        <w:t xml:space="preserve"> t</w:t>
      </w:r>
      <w:r w:rsidR="00CD7E8B" w:rsidRPr="0000207A">
        <w:rPr>
          <w:lang w:val="en-US"/>
        </w:rPr>
        <w:t xml:space="preserve">he structural degradation kinetics of </w:t>
      </w:r>
      <w:r w:rsidR="00A77DAD">
        <w:rPr>
          <w:rFonts w:hint="eastAsia"/>
          <w:lang w:val="en-US"/>
        </w:rPr>
        <w:t>SF-based</w:t>
      </w:r>
      <w:r w:rsidR="00CD7E8B" w:rsidRPr="0000207A">
        <w:rPr>
          <w:lang w:val="en-US"/>
        </w:rPr>
        <w:t xml:space="preserve"> scaffolds</w:t>
      </w:r>
      <w:r w:rsidR="00CD7E8B" w:rsidRPr="0000207A">
        <w:rPr>
          <w:rFonts w:hint="eastAsia"/>
          <w:lang w:val="en-US"/>
        </w:rPr>
        <w:t xml:space="preserve"> </w:t>
      </w:r>
      <w:r w:rsidR="00087FB1" w:rsidRPr="0000207A">
        <w:rPr>
          <w:lang w:val="en-US"/>
        </w:rPr>
        <w:t xml:space="preserve">using vibrational spectroscopy. </w:t>
      </w:r>
      <w:r w:rsidR="0000207A">
        <w:rPr>
          <w:rFonts w:hint="eastAsia"/>
          <w:lang w:val="en-US"/>
        </w:rPr>
        <w:t>E</w:t>
      </w:r>
      <w:r w:rsidR="00087FB1" w:rsidRPr="0000207A">
        <w:rPr>
          <w:lang w:val="en-US"/>
        </w:rPr>
        <w:t>mploy</w:t>
      </w:r>
      <w:r w:rsidR="0000207A">
        <w:rPr>
          <w:rFonts w:hint="eastAsia"/>
          <w:lang w:val="en-US"/>
        </w:rPr>
        <w:t>ing</w:t>
      </w:r>
      <w:r w:rsidR="00087FB1" w:rsidRPr="0000207A">
        <w:rPr>
          <w:lang w:val="en-US"/>
        </w:rPr>
        <w:t xml:space="preserve"> Fourier-transform infrared (FTIR) and Raman spectroscopy to monitor secondary structural changes of protein molecules under varied degradation conditions, thereby </w:t>
      </w:r>
      <w:r w:rsidR="00CD7E8B" w:rsidRPr="0000207A">
        <w:rPr>
          <w:lang w:val="en-US"/>
        </w:rPr>
        <w:t>establish</w:t>
      </w:r>
      <w:r w:rsidR="00CD7E8B" w:rsidRPr="0000207A">
        <w:rPr>
          <w:rFonts w:hint="eastAsia"/>
          <w:lang w:val="en-US"/>
        </w:rPr>
        <w:t>ing</w:t>
      </w:r>
      <w:r w:rsidR="00CD7E8B" w:rsidRPr="0000207A">
        <w:rPr>
          <w:lang w:val="en-US"/>
        </w:rPr>
        <w:t xml:space="preserve"> structure-degradation relationships.</w:t>
      </w:r>
      <w:r w:rsidR="001A11BC" w:rsidRPr="0000207A">
        <w:rPr>
          <w:lang w:val="en-US"/>
        </w:rPr>
        <w:t xml:space="preserve"> </w:t>
      </w:r>
    </w:p>
    <w:p w14:paraId="2A4276DE" w14:textId="1F69554B" w:rsidR="00087FB1" w:rsidRPr="0000207A" w:rsidRDefault="00823B6C" w:rsidP="00CD7E8B">
      <w:pPr>
        <w:pStyle w:val="LO-normal"/>
        <w:spacing w:line="240" w:lineRule="auto"/>
        <w:ind w:firstLineChars="100" w:firstLine="240"/>
        <w:rPr>
          <w:lang w:val="en-US"/>
        </w:rPr>
      </w:pPr>
      <w:r w:rsidRPr="0000207A">
        <w:rPr>
          <w:rFonts w:hint="eastAsia"/>
          <w:lang w:val="en-US"/>
        </w:rPr>
        <w:t xml:space="preserve">First, </w:t>
      </w:r>
      <w:r w:rsidR="00087FB1" w:rsidRPr="0000207A">
        <w:rPr>
          <w:lang w:val="en-US"/>
        </w:rPr>
        <w:t xml:space="preserve">SF was extracted from Bombyx mori cocoons to fabricate three-dimensional porous sponge-like scaffolds. Composite scaffolds were prepared by blending SF with 30 </w:t>
      </w:r>
      <w:proofErr w:type="spellStart"/>
      <w:r w:rsidR="00087FB1" w:rsidRPr="0000207A">
        <w:rPr>
          <w:lang w:val="en-US"/>
        </w:rPr>
        <w:t>wt</w:t>
      </w:r>
      <w:proofErr w:type="spellEnd"/>
      <w:r w:rsidR="00087FB1" w:rsidRPr="0000207A">
        <w:rPr>
          <w:lang w:val="en-US"/>
        </w:rPr>
        <w:t xml:space="preserve">% and 50 </w:t>
      </w:r>
      <w:proofErr w:type="spellStart"/>
      <w:r w:rsidR="00087FB1" w:rsidRPr="0000207A">
        <w:rPr>
          <w:lang w:val="en-US"/>
        </w:rPr>
        <w:t>wt</w:t>
      </w:r>
      <w:proofErr w:type="spellEnd"/>
      <w:r w:rsidR="00087FB1" w:rsidRPr="0000207A">
        <w:rPr>
          <w:lang w:val="en-US"/>
        </w:rPr>
        <w:t xml:space="preserve">% gelatin. Scaffolds were incubated at 4°C, 25°C (ambient), and 37°C for </w:t>
      </w:r>
      <w:r w:rsidRPr="0000207A">
        <w:rPr>
          <w:rFonts w:hint="eastAsia"/>
          <w:lang w:val="en-US"/>
        </w:rPr>
        <w:t>6</w:t>
      </w:r>
      <w:r w:rsidR="00087FB1" w:rsidRPr="0000207A">
        <w:rPr>
          <w:lang w:val="en-US"/>
        </w:rPr>
        <w:t xml:space="preserve"> days in PBS (</w:t>
      </w:r>
      <w:r w:rsidR="004F32C6" w:rsidRPr="0000207A">
        <w:rPr>
          <w:rFonts w:hint="eastAsia"/>
          <w:lang w:val="en-US"/>
        </w:rPr>
        <w:t>0.0</w:t>
      </w:r>
      <w:r w:rsidR="00DC315A">
        <w:rPr>
          <w:rFonts w:hint="eastAsia"/>
          <w:lang w:val="en-US"/>
        </w:rPr>
        <w:t>5</w:t>
      </w:r>
      <w:r w:rsidR="004F32C6" w:rsidRPr="0000207A">
        <w:rPr>
          <w:rFonts w:hint="eastAsia"/>
          <w:lang w:val="en-US"/>
        </w:rPr>
        <w:t xml:space="preserve"> M, pH 7.</w:t>
      </w:r>
      <w:r w:rsidR="00DC315A">
        <w:rPr>
          <w:rFonts w:hint="eastAsia"/>
          <w:lang w:val="en-US"/>
        </w:rPr>
        <w:t>5</w:t>
      </w:r>
      <w:r w:rsidR="00087FB1" w:rsidRPr="0000207A">
        <w:rPr>
          <w:lang w:val="en-US"/>
        </w:rPr>
        <w:t>), NaOH</w:t>
      </w:r>
      <w:r w:rsidR="0000207A" w:rsidRPr="0000207A">
        <w:rPr>
          <w:rFonts w:hint="eastAsia"/>
          <w:lang w:val="en-US"/>
        </w:rPr>
        <w:t xml:space="preserve"> </w:t>
      </w:r>
      <w:r w:rsidR="0000207A" w:rsidRPr="0000207A">
        <w:rPr>
          <w:lang w:val="en-US"/>
        </w:rPr>
        <w:t>(</w:t>
      </w:r>
      <w:r w:rsidR="0000207A" w:rsidRPr="0000207A">
        <w:rPr>
          <w:rFonts w:hint="eastAsia"/>
          <w:lang w:val="en-US"/>
        </w:rPr>
        <w:t>0.0</w:t>
      </w:r>
      <w:r w:rsidR="00DC315A">
        <w:rPr>
          <w:rFonts w:hint="eastAsia"/>
          <w:lang w:val="en-US"/>
        </w:rPr>
        <w:t>5</w:t>
      </w:r>
      <w:r w:rsidR="0000207A" w:rsidRPr="0000207A">
        <w:rPr>
          <w:rFonts w:hint="eastAsia"/>
          <w:lang w:val="en-US"/>
        </w:rPr>
        <w:t xml:space="preserve"> M</w:t>
      </w:r>
      <w:r w:rsidR="0000207A" w:rsidRPr="0000207A">
        <w:rPr>
          <w:lang w:val="en-US"/>
        </w:rPr>
        <w:t>)</w:t>
      </w:r>
      <w:r w:rsidR="00087FB1" w:rsidRPr="0000207A">
        <w:rPr>
          <w:lang w:val="en-US"/>
        </w:rPr>
        <w:t>, trypsin</w:t>
      </w:r>
      <w:r w:rsidR="004F32C6" w:rsidRPr="0000207A">
        <w:rPr>
          <w:rFonts w:hint="eastAsia"/>
          <w:lang w:val="en-US"/>
        </w:rPr>
        <w:t xml:space="preserve"> (1</w:t>
      </w:r>
      <w:r w:rsidR="004F32C6" w:rsidRPr="0000207A">
        <w:t xml:space="preserve"> U/mg</w:t>
      </w:r>
      <w:r w:rsidR="004F32C6" w:rsidRPr="0000207A">
        <w:rPr>
          <w:rFonts w:hint="eastAsia"/>
          <w:lang w:val="en-US"/>
        </w:rPr>
        <w:t>)</w:t>
      </w:r>
      <w:r w:rsidR="00087FB1" w:rsidRPr="0000207A">
        <w:rPr>
          <w:lang w:val="en-US"/>
        </w:rPr>
        <w:t xml:space="preserve">, or </w:t>
      </w:r>
      <w:proofErr w:type="spellStart"/>
      <w:r w:rsidR="00087FB1" w:rsidRPr="0000207A">
        <w:rPr>
          <w:lang w:val="en-US"/>
        </w:rPr>
        <w:t>pronase</w:t>
      </w:r>
      <w:proofErr w:type="spellEnd"/>
      <w:r w:rsidR="004F32C6" w:rsidRPr="0000207A">
        <w:rPr>
          <w:rFonts w:hint="eastAsia"/>
          <w:lang w:val="en-US"/>
        </w:rPr>
        <w:t xml:space="preserve"> (1</w:t>
      </w:r>
      <w:r w:rsidR="004F32C6" w:rsidRPr="0000207A">
        <w:t xml:space="preserve"> U/mg</w:t>
      </w:r>
      <w:r w:rsidR="004F32C6" w:rsidRPr="0000207A">
        <w:rPr>
          <w:rFonts w:hint="eastAsia"/>
          <w:lang w:val="en-US"/>
        </w:rPr>
        <w:t>)</w:t>
      </w:r>
      <w:r w:rsidR="00087FB1" w:rsidRPr="0000207A">
        <w:rPr>
          <w:lang w:val="en-US"/>
        </w:rPr>
        <w:t xml:space="preserve"> solutions to induce natural degradation, alkaline hydrolysis, or enzymatic degradation. Each experimental group contained five biological replicates (n=5). Post-treatment samples were lyophilized</w:t>
      </w:r>
      <w:r w:rsidR="004F32C6" w:rsidRPr="0000207A">
        <w:rPr>
          <w:rFonts w:hint="eastAsia"/>
          <w:lang w:val="en-US"/>
        </w:rPr>
        <w:t xml:space="preserve"> </w:t>
      </w:r>
      <w:r w:rsidR="004F32C6" w:rsidRPr="0000207A">
        <w:t>at -</w:t>
      </w:r>
      <w:r w:rsidR="004F32C6" w:rsidRPr="0000207A">
        <w:rPr>
          <w:rFonts w:hint="eastAsia"/>
        </w:rPr>
        <w:t>9</w:t>
      </w:r>
      <w:r w:rsidR="004F32C6" w:rsidRPr="0000207A">
        <w:t>0°C, 0.1 mbar</w:t>
      </w:r>
      <w:r w:rsidR="00087FB1" w:rsidRPr="0000207A">
        <w:rPr>
          <w:lang w:val="en-US"/>
        </w:rPr>
        <w:t xml:space="preserve"> and </w:t>
      </w:r>
      <w:r w:rsidRPr="0000207A">
        <w:rPr>
          <w:rFonts w:hint="eastAsia"/>
          <w:lang w:val="en-US"/>
        </w:rPr>
        <w:t>measure</w:t>
      </w:r>
      <w:r w:rsidR="00087FB1" w:rsidRPr="0000207A">
        <w:rPr>
          <w:lang w:val="en-US"/>
        </w:rPr>
        <w:t xml:space="preserve">d using </w:t>
      </w:r>
      <w:r w:rsidR="00CD7E8B" w:rsidRPr="0000207A">
        <w:rPr>
          <w:lang w:val="en-US"/>
        </w:rPr>
        <w:t>FTIR</w:t>
      </w:r>
      <w:r w:rsidR="00087FB1" w:rsidRPr="0000207A">
        <w:rPr>
          <w:lang w:val="en-US"/>
        </w:rPr>
        <w:t xml:space="preserve"> and Raman spectroscopy. Statistical analysis of characteristic peak intensities and compositions enabled inference of secondary structural changes during SF scaffold degradation</w:t>
      </w:r>
      <w:r w:rsidR="004F32C6" w:rsidRPr="0000207A">
        <w:rPr>
          <w:rFonts w:hint="eastAsia"/>
          <w:lang w:val="en-US"/>
        </w:rPr>
        <w:t>.</w:t>
      </w:r>
    </w:p>
    <w:p w14:paraId="466D14B4" w14:textId="071B8650" w:rsidR="0000207A" w:rsidRPr="0000207A" w:rsidRDefault="00087FB1" w:rsidP="0000207A">
      <w:pPr>
        <w:pStyle w:val="LO-normal"/>
        <w:spacing w:line="240" w:lineRule="auto"/>
        <w:ind w:firstLineChars="100" w:firstLine="240"/>
        <w:rPr>
          <w:lang w:val="en-US"/>
        </w:rPr>
      </w:pPr>
      <w:r w:rsidRPr="0000207A">
        <w:rPr>
          <w:lang w:val="en-US"/>
        </w:rPr>
        <w:t xml:space="preserve">Our findings demonstrate that selected degradation agents (alkali, trypsin, </w:t>
      </w:r>
      <w:proofErr w:type="spellStart"/>
      <w:r w:rsidRPr="0000207A">
        <w:rPr>
          <w:lang w:val="en-US"/>
        </w:rPr>
        <w:t>pronase</w:t>
      </w:r>
      <w:proofErr w:type="spellEnd"/>
      <w:r w:rsidRPr="0000207A">
        <w:rPr>
          <w:lang w:val="en-US"/>
        </w:rPr>
        <w:t xml:space="preserve">) significantly alter the secondary structure of SF scaffolds. FTIR analysis revealed dynamic transitions among α-helix, β-sheet, and random coil conformations. Raman spectroscopy detected tyrosine residue environmental changes (850/830 cm⁻¹ intensity ratio), indicating structural rearrangement through hydrophobicity variations. These structural parameters were significantly influenced by </w:t>
      </w:r>
      <w:r w:rsidR="0000207A" w:rsidRPr="0000207A">
        <w:rPr>
          <w:lang w:val="en-US"/>
        </w:rPr>
        <w:t xml:space="preserve">gelatin blending ratio (30-50 </w:t>
      </w:r>
      <w:proofErr w:type="spellStart"/>
      <w:r w:rsidR="0000207A" w:rsidRPr="0000207A">
        <w:rPr>
          <w:lang w:val="en-US"/>
        </w:rPr>
        <w:t>wt</w:t>
      </w:r>
      <w:proofErr w:type="spellEnd"/>
      <w:r w:rsidR="0000207A" w:rsidRPr="0000207A">
        <w:rPr>
          <w:lang w:val="en-US"/>
        </w:rPr>
        <w:t xml:space="preserve">%), incubation temperature (4-37°C), and degradation pathway (alkaline vs enzymatic) </w:t>
      </w:r>
      <w:r w:rsidRPr="0000207A">
        <w:rPr>
          <w:lang w:val="en-US"/>
        </w:rPr>
        <w:t>(p&lt;0.05, ANOVA).</w:t>
      </w:r>
    </w:p>
    <w:p w14:paraId="1A6E33CD" w14:textId="505B7E9F" w:rsidR="00F45F87" w:rsidRPr="0000207A" w:rsidRDefault="00CD7E8B" w:rsidP="0000207A">
      <w:pPr>
        <w:pStyle w:val="LO-normal"/>
        <w:spacing w:line="240" w:lineRule="auto"/>
        <w:ind w:firstLineChars="100" w:firstLine="240"/>
      </w:pPr>
      <w:r w:rsidRPr="0000207A">
        <w:rPr>
          <w:lang w:val="en-US"/>
        </w:rPr>
        <w:t>The demonstrated spectroscopic monitoring approach provides a novel strategy for achieving spatiotemporal control of scaffold degradation in tissue regeneration applications.</w:t>
      </w:r>
    </w:p>
    <w:p w14:paraId="098EE92C" w14:textId="77777777" w:rsidR="00CD7E8B" w:rsidRDefault="00CD7E8B">
      <w:pPr>
        <w:pStyle w:val="LO-normal"/>
        <w:spacing w:line="240" w:lineRule="auto"/>
      </w:pPr>
    </w:p>
    <w:p w14:paraId="2723C00F" w14:textId="77777777" w:rsidR="00CD7E8B" w:rsidRPr="002D1F9B" w:rsidRDefault="00CD7E8B">
      <w:pPr>
        <w:pStyle w:val="LO-normal"/>
        <w:spacing w:line="240" w:lineRule="auto"/>
      </w:pPr>
    </w:p>
    <w:sectPr w:rsidR="00CD7E8B" w:rsidRPr="002D1F9B">
      <w:pgSz w:w="11906" w:h="16838"/>
      <w:pgMar w:top="1134" w:right="1361" w:bottom="1134" w:left="1361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B10E" w14:textId="77777777" w:rsidR="00B1027F" w:rsidRDefault="00B1027F" w:rsidP="00246940">
      <w:pPr>
        <w:spacing w:line="240" w:lineRule="auto"/>
      </w:pPr>
      <w:r>
        <w:separator/>
      </w:r>
    </w:p>
  </w:endnote>
  <w:endnote w:type="continuationSeparator" w:id="0">
    <w:p w14:paraId="50E03A02" w14:textId="77777777" w:rsidR="00B1027F" w:rsidRDefault="00B1027F" w:rsidP="002469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4E2E" w14:textId="77777777" w:rsidR="00B1027F" w:rsidRDefault="00B1027F" w:rsidP="00246940">
      <w:pPr>
        <w:spacing w:line="240" w:lineRule="auto"/>
      </w:pPr>
      <w:r>
        <w:separator/>
      </w:r>
    </w:p>
  </w:footnote>
  <w:footnote w:type="continuationSeparator" w:id="0">
    <w:p w14:paraId="7D3048C7" w14:textId="77777777" w:rsidR="00B1027F" w:rsidRDefault="00B1027F" w:rsidP="002469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143"/>
    <w:rsid w:val="0000207A"/>
    <w:rsid w:val="00087FB1"/>
    <w:rsid w:val="000A1A4B"/>
    <w:rsid w:val="000D52A6"/>
    <w:rsid w:val="000E4536"/>
    <w:rsid w:val="00106E4E"/>
    <w:rsid w:val="00117D39"/>
    <w:rsid w:val="001603AD"/>
    <w:rsid w:val="001A11BC"/>
    <w:rsid w:val="001C6304"/>
    <w:rsid w:val="001F544E"/>
    <w:rsid w:val="0022285F"/>
    <w:rsid w:val="00246940"/>
    <w:rsid w:val="002611F4"/>
    <w:rsid w:val="002D1F9B"/>
    <w:rsid w:val="002D4062"/>
    <w:rsid w:val="00327143"/>
    <w:rsid w:val="003366A3"/>
    <w:rsid w:val="00392BE8"/>
    <w:rsid w:val="003C5385"/>
    <w:rsid w:val="00400051"/>
    <w:rsid w:val="004541CB"/>
    <w:rsid w:val="00485244"/>
    <w:rsid w:val="004A6291"/>
    <w:rsid w:val="004B1EB4"/>
    <w:rsid w:val="004F32C6"/>
    <w:rsid w:val="004F6F11"/>
    <w:rsid w:val="00530150"/>
    <w:rsid w:val="00532A51"/>
    <w:rsid w:val="00553D79"/>
    <w:rsid w:val="005A7661"/>
    <w:rsid w:val="005E10C9"/>
    <w:rsid w:val="005F5C1D"/>
    <w:rsid w:val="00634428"/>
    <w:rsid w:val="006461BF"/>
    <w:rsid w:val="006530E8"/>
    <w:rsid w:val="00676B1A"/>
    <w:rsid w:val="006B73C2"/>
    <w:rsid w:val="006E7F5F"/>
    <w:rsid w:val="006F3629"/>
    <w:rsid w:val="0074165D"/>
    <w:rsid w:val="00780862"/>
    <w:rsid w:val="007C4329"/>
    <w:rsid w:val="00805E8C"/>
    <w:rsid w:val="00823B6C"/>
    <w:rsid w:val="0084479D"/>
    <w:rsid w:val="00856BDD"/>
    <w:rsid w:val="008850DE"/>
    <w:rsid w:val="008E5A48"/>
    <w:rsid w:val="008F6A1D"/>
    <w:rsid w:val="00967508"/>
    <w:rsid w:val="00984853"/>
    <w:rsid w:val="009D0FA7"/>
    <w:rsid w:val="00A0217A"/>
    <w:rsid w:val="00A67301"/>
    <w:rsid w:val="00A77DAD"/>
    <w:rsid w:val="00A84B6A"/>
    <w:rsid w:val="00AB2ECC"/>
    <w:rsid w:val="00AD4D20"/>
    <w:rsid w:val="00B1027F"/>
    <w:rsid w:val="00B3489A"/>
    <w:rsid w:val="00B46517"/>
    <w:rsid w:val="00B6200B"/>
    <w:rsid w:val="00BC39E9"/>
    <w:rsid w:val="00BE3994"/>
    <w:rsid w:val="00C80C16"/>
    <w:rsid w:val="00C82CD1"/>
    <w:rsid w:val="00C90AE9"/>
    <w:rsid w:val="00CA2281"/>
    <w:rsid w:val="00CB4242"/>
    <w:rsid w:val="00CC34D4"/>
    <w:rsid w:val="00CD7E8B"/>
    <w:rsid w:val="00CE61DD"/>
    <w:rsid w:val="00D02CDD"/>
    <w:rsid w:val="00D14956"/>
    <w:rsid w:val="00D35C17"/>
    <w:rsid w:val="00D424A0"/>
    <w:rsid w:val="00D90B22"/>
    <w:rsid w:val="00D94C28"/>
    <w:rsid w:val="00DA5057"/>
    <w:rsid w:val="00DA64FB"/>
    <w:rsid w:val="00DB314C"/>
    <w:rsid w:val="00DB6800"/>
    <w:rsid w:val="00DC315A"/>
    <w:rsid w:val="00DD597D"/>
    <w:rsid w:val="00E371C4"/>
    <w:rsid w:val="00E4068B"/>
    <w:rsid w:val="00E6677A"/>
    <w:rsid w:val="00EB7D9F"/>
    <w:rsid w:val="00ED3898"/>
    <w:rsid w:val="00EF0DB5"/>
    <w:rsid w:val="00EF13DA"/>
    <w:rsid w:val="00EF2479"/>
    <w:rsid w:val="00EF5DF2"/>
    <w:rsid w:val="00F034F6"/>
    <w:rsid w:val="00F13992"/>
    <w:rsid w:val="00F45F87"/>
    <w:rsid w:val="00F52B5C"/>
    <w:rsid w:val="00F81BA3"/>
    <w:rsid w:val="00FA0575"/>
    <w:rsid w:val="00FA3D82"/>
    <w:rsid w:val="00FC489A"/>
    <w:rsid w:val="00FF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DDC20"/>
  <w15:docId w15:val="{5443E09A-D1AD-474E-BD2F-0F007616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Arial Unicode MS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eastAsia="新宋体"/>
    </w:rPr>
  </w:style>
  <w:style w:type="paragraph" w:styleId="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</w:rPr>
  </w:style>
  <w:style w:type="paragraph" w:styleId="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微软雅黑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Указатель"/>
    <w:basedOn w:val="a"/>
    <w:qFormat/>
    <w:pPr>
      <w:suppressLineNumbers/>
    </w:pPr>
  </w:style>
  <w:style w:type="paragraph" w:customStyle="1" w:styleId="LO-normal">
    <w:name w:val="LO-normal"/>
    <w:qFormat/>
    <w:pPr>
      <w:widowControl w:val="0"/>
      <w:spacing w:line="360" w:lineRule="auto"/>
      <w:jc w:val="both"/>
    </w:pPr>
    <w:rPr>
      <w:rFonts w:eastAsia="新宋体"/>
    </w:rPr>
  </w:style>
  <w:style w:type="paragraph" w:styleId="a8">
    <w:name w:val="Title"/>
    <w:basedOn w:val="LO-normal"/>
    <w:next w:val="LO-normal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9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24694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cs="Mangal"/>
      <w:sz w:val="18"/>
      <w:szCs w:val="16"/>
    </w:rPr>
  </w:style>
  <w:style w:type="character" w:customStyle="1" w:styleId="ab">
    <w:name w:val="页眉 字符"/>
    <w:basedOn w:val="a0"/>
    <w:link w:val="aa"/>
    <w:uiPriority w:val="99"/>
    <w:rsid w:val="00246940"/>
    <w:rPr>
      <w:rFonts w:eastAsia="新宋体" w:cs="Mangal"/>
      <w:sz w:val="18"/>
      <w:szCs w:val="16"/>
    </w:rPr>
  </w:style>
  <w:style w:type="paragraph" w:styleId="ac">
    <w:name w:val="footer"/>
    <w:basedOn w:val="a"/>
    <w:link w:val="ad"/>
    <w:uiPriority w:val="99"/>
    <w:unhideWhenUsed/>
    <w:rsid w:val="0024694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cs="Mangal"/>
      <w:sz w:val="18"/>
      <w:szCs w:val="16"/>
    </w:rPr>
  </w:style>
  <w:style w:type="character" w:customStyle="1" w:styleId="ad">
    <w:name w:val="页脚 字符"/>
    <w:basedOn w:val="a0"/>
    <w:link w:val="ac"/>
    <w:uiPriority w:val="99"/>
    <w:rsid w:val="00246940"/>
    <w:rPr>
      <w:rFonts w:eastAsia="新宋体" w:cs="Mangal"/>
      <w:sz w:val="18"/>
      <w:szCs w:val="16"/>
    </w:rPr>
  </w:style>
  <w:style w:type="character" w:customStyle="1" w:styleId="doctitle">
    <w:name w:val="doc_title"/>
    <w:basedOn w:val="a0"/>
    <w:rsid w:val="00F03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5649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9693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9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6596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73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28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04081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00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6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1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8476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18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9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0173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9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902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4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42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700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8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21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2468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966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Inna lu</cp:lastModifiedBy>
  <cp:revision>78</cp:revision>
  <dcterms:created xsi:type="dcterms:W3CDTF">2024-02-15T02:11:00Z</dcterms:created>
  <dcterms:modified xsi:type="dcterms:W3CDTF">2025-03-12T08:56:00Z</dcterms:modified>
  <dc:language>en-US</dc:language>
</cp:coreProperties>
</file>