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64E5" w14:textId="77777777" w:rsidR="00913094" w:rsidRDefault="00913094" w:rsidP="00D3086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3094">
        <w:rPr>
          <w:rFonts w:ascii="Times New Roman" w:hAnsi="Times New Roman" w:cs="Times New Roman"/>
          <w:b/>
          <w:bCs/>
          <w:sz w:val="24"/>
          <w:szCs w:val="24"/>
        </w:rPr>
        <w:t>Новая парадигма государственного регулирования финансовой системы Российской Федерации</w:t>
      </w:r>
    </w:p>
    <w:p w14:paraId="19D844B7" w14:textId="1106668A" w:rsidR="00FF4BBF" w:rsidRPr="00D3086F" w:rsidRDefault="00FF4BBF" w:rsidP="00D3086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733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Вахтуров</w:t>
      </w:r>
      <w:proofErr w:type="spellEnd"/>
      <w:r w:rsidRPr="00F733D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Егор Владимирович</w:t>
      </w:r>
    </w:p>
    <w:p w14:paraId="18D0DE86" w14:textId="77777777" w:rsidR="00FF4BBF" w:rsidRPr="00F733D1" w:rsidRDefault="00FF4BBF" w:rsidP="00D3086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33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Аспирант</w:t>
      </w:r>
    </w:p>
    <w:p w14:paraId="1FF57D71" w14:textId="77777777" w:rsidR="00FF4BBF" w:rsidRPr="00F733D1" w:rsidRDefault="00FF4BBF" w:rsidP="00D3086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33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Московский государственный университет им. М.В. Ломоносова</w:t>
      </w:r>
    </w:p>
    <w:p w14:paraId="27DA2BD3" w14:textId="77777777" w:rsidR="00FF4BBF" w:rsidRPr="00F733D1" w:rsidRDefault="00FF4BBF" w:rsidP="00D3086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33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факультет государственного управления, Москва, Россия</w:t>
      </w:r>
    </w:p>
    <w:p w14:paraId="77CFF3F9" w14:textId="77777777" w:rsidR="00FF4BBF" w:rsidRPr="0036743B" w:rsidRDefault="00FF4BBF" w:rsidP="00D3086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733D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F733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F733D1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F733D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hyperlink r:id="rId8" w:history="1">
        <w:r w:rsidRPr="00F733D1">
          <w:rPr>
            <w:rStyle w:val="a3"/>
            <w:rFonts w:ascii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vakhturov</w:t>
        </w:r>
        <w:r w:rsidRPr="00F733D1">
          <w:rPr>
            <w:rStyle w:val="a3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>.1999@</w:t>
        </w:r>
        <w:r w:rsidRPr="00F733D1">
          <w:rPr>
            <w:rStyle w:val="a3"/>
            <w:rFonts w:ascii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mail</w:t>
        </w:r>
        <w:r w:rsidRPr="00F733D1">
          <w:rPr>
            <w:rStyle w:val="a3"/>
            <w:rFonts w:ascii="Times New Roman" w:hAnsi="Times New Roman" w:cs="Times New Roman"/>
            <w:b/>
            <w:bCs/>
            <w:i/>
            <w:iCs/>
            <w:sz w:val="24"/>
            <w:szCs w:val="24"/>
          </w:rPr>
          <w:t>.</w:t>
        </w:r>
        <w:r w:rsidRPr="00F733D1">
          <w:rPr>
            <w:rStyle w:val="a3"/>
            <w:rFonts w:ascii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t>ru</w:t>
        </w:r>
      </w:hyperlink>
    </w:p>
    <w:p w14:paraId="1C4B5936" w14:textId="357CDF66" w:rsidR="00A5383D" w:rsidRPr="00CF25FF" w:rsidRDefault="00A5383D" w:rsidP="00A538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5FF">
        <w:rPr>
          <w:rFonts w:ascii="Times New Roman" w:hAnsi="Times New Roman" w:cs="Times New Roman"/>
          <w:sz w:val="24"/>
          <w:szCs w:val="24"/>
        </w:rPr>
        <w:tab/>
        <w:t xml:space="preserve">На современном этапе развития повышается роль финансовой системы в обеспечении быстрой адаптации к произошедшим изменениям в мировой и отечественной экономике. Для достижения устойчивого развития требуется активизация использования внутренних финансовых ресурсов, что может быть достигнуто за счет эффективной модели управления финансовой системой. Основная цель исследования, проведенного в данной статье, состоит в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выявление изменений в модели управления финансовой системы России </w:t>
      </w:r>
      <w:r>
        <w:rPr>
          <w:rFonts w:ascii="Times New Roman" w:hAnsi="Times New Roman" w:cs="Times New Roman"/>
          <w:sz w:val="24"/>
          <w:szCs w:val="24"/>
        </w:rPr>
        <w:t xml:space="preserve">в докризисный период и </w:t>
      </w:r>
      <w:r w:rsidRPr="00CF25FF">
        <w:rPr>
          <w:rFonts w:ascii="Times New Roman" w:hAnsi="Times New Roman" w:cs="Times New Roman"/>
          <w:sz w:val="24"/>
          <w:szCs w:val="24"/>
        </w:rPr>
        <w:t>в условиях противодействия кризису, вызванного введением санкций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2AC883" w14:textId="04077A29" w:rsidR="00A5383D" w:rsidRPr="00CF25FF" w:rsidRDefault="00A5383D" w:rsidP="002D0B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25FF">
        <w:rPr>
          <w:rFonts w:ascii="Times New Roman" w:hAnsi="Times New Roman" w:cs="Times New Roman"/>
          <w:sz w:val="24"/>
          <w:szCs w:val="24"/>
        </w:rPr>
        <w:t xml:space="preserve">В докризисный период в России сформировалась модель управления финансовой системой, оптимально сочетающая в себе государственные и рыночные механизмы регулирования. При этом рыночные механизмы были доминирующими в этой модели и реализовывались через таргетирование инфляции, либерализацию внешнеэкономической деятельности, установление режима плавающего валютного курса и др. </w:t>
      </w:r>
    </w:p>
    <w:p w14:paraId="27AD042F" w14:textId="2ACB0583" w:rsidR="00A5383D" w:rsidRPr="00CF25FF" w:rsidRDefault="00A5383D" w:rsidP="00A538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25FF">
        <w:rPr>
          <w:rFonts w:ascii="Times New Roman" w:hAnsi="Times New Roman" w:cs="Times New Roman"/>
          <w:sz w:val="24"/>
          <w:szCs w:val="24"/>
        </w:rPr>
        <w:tab/>
        <w:t xml:space="preserve">Введение санкций против Российской Федерации ускорило процесс трансформации модели управления финансовой системой. </w:t>
      </w:r>
    </w:p>
    <w:p w14:paraId="33864A01" w14:textId="72A96809" w:rsidR="00A5383D" w:rsidRPr="00350DE0" w:rsidRDefault="00A5383D" w:rsidP="00A538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0DE0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2D0B44">
        <w:rPr>
          <w:rFonts w:ascii="Times New Roman" w:hAnsi="Times New Roman" w:cs="Times New Roman"/>
          <w:sz w:val="24"/>
          <w:szCs w:val="24"/>
        </w:rPr>
        <w:t>1</w:t>
      </w:r>
    </w:p>
    <w:p w14:paraId="41D1D46A" w14:textId="77777777" w:rsidR="00A5383D" w:rsidRPr="00350DE0" w:rsidRDefault="00A5383D" w:rsidP="00A538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0DE0">
        <w:rPr>
          <w:rFonts w:ascii="Times New Roman" w:hAnsi="Times New Roman" w:cs="Times New Roman"/>
          <w:sz w:val="24"/>
          <w:szCs w:val="24"/>
        </w:rPr>
        <w:t>Модель управления финансовой системой в условиях противодействия кризису, вызванного введением против России санкций</w:t>
      </w:r>
    </w:p>
    <w:tbl>
      <w:tblPr>
        <w:tblStyle w:val="a9"/>
        <w:tblW w:w="9493" w:type="dxa"/>
        <w:tblLayout w:type="fixed"/>
        <w:tblLook w:val="04A0" w:firstRow="1" w:lastRow="0" w:firstColumn="1" w:lastColumn="0" w:noHBand="0" w:noVBand="1"/>
      </w:tblPr>
      <w:tblGrid>
        <w:gridCol w:w="4531"/>
        <w:gridCol w:w="4962"/>
      </w:tblGrid>
      <w:tr w:rsidR="00A5383D" w:rsidRPr="00CF25FF" w14:paraId="1A01A14F" w14:textId="77777777" w:rsidTr="00E75C44">
        <w:tc>
          <w:tcPr>
            <w:tcW w:w="4531" w:type="dxa"/>
          </w:tcPr>
          <w:p w14:paraId="29CECE5C" w14:textId="77777777" w:rsidR="00A5383D" w:rsidRPr="00350DE0" w:rsidRDefault="00A5383D" w:rsidP="00E75C4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0D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Механизмы модели управления финансовой системой</w:t>
            </w:r>
          </w:p>
        </w:tc>
        <w:tc>
          <w:tcPr>
            <w:tcW w:w="4962" w:type="dxa"/>
          </w:tcPr>
          <w:p w14:paraId="7DCF6FD1" w14:textId="77777777" w:rsidR="00A5383D" w:rsidRPr="00350DE0" w:rsidRDefault="00A5383D" w:rsidP="00E75C44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0DE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Направленность воздействия механизмов модели управления финансовой системой</w:t>
            </w:r>
          </w:p>
        </w:tc>
      </w:tr>
      <w:tr w:rsidR="00A5383D" w:rsidRPr="00CF25FF" w14:paraId="58A0785C" w14:textId="77777777" w:rsidTr="00E75C44">
        <w:tc>
          <w:tcPr>
            <w:tcW w:w="9493" w:type="dxa"/>
            <w:gridSpan w:val="2"/>
          </w:tcPr>
          <w:p w14:paraId="4B961B41" w14:textId="77777777" w:rsidR="00A5383D" w:rsidRPr="00CF25FF" w:rsidRDefault="00A5383D" w:rsidP="00E75C4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Механизмы государственного регулирования</w:t>
            </w:r>
          </w:p>
        </w:tc>
      </w:tr>
      <w:tr w:rsidR="00A5383D" w:rsidRPr="00CF25FF" w14:paraId="5734BC53" w14:textId="77777777" w:rsidTr="00E75C44">
        <w:tc>
          <w:tcPr>
            <w:tcW w:w="4531" w:type="dxa"/>
          </w:tcPr>
          <w:p w14:paraId="1F3642E8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Правоустанавливающие механизмы</w:t>
            </w:r>
          </w:p>
        </w:tc>
        <w:tc>
          <w:tcPr>
            <w:tcW w:w="4962" w:type="dxa"/>
          </w:tcPr>
          <w:p w14:paraId="7FB17DD1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 для функционирования участников финансовой системы</w:t>
            </w:r>
          </w:p>
        </w:tc>
      </w:tr>
      <w:tr w:rsidR="00A5383D" w:rsidRPr="00CF25FF" w14:paraId="27A51862" w14:textId="77777777" w:rsidTr="00E75C44">
        <w:tc>
          <w:tcPr>
            <w:tcW w:w="4531" w:type="dxa"/>
          </w:tcPr>
          <w:p w14:paraId="1D29B0AB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Правоприменительные механизмы</w:t>
            </w:r>
          </w:p>
        </w:tc>
        <w:tc>
          <w:tcPr>
            <w:tcW w:w="4962" w:type="dxa"/>
          </w:tcPr>
          <w:p w14:paraId="636B54E7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Осуществление надзорных функций</w:t>
            </w:r>
          </w:p>
        </w:tc>
      </w:tr>
      <w:tr w:rsidR="00A5383D" w:rsidRPr="00CF25FF" w14:paraId="05DB63DA" w14:textId="77777777" w:rsidTr="00E75C44">
        <w:tc>
          <w:tcPr>
            <w:tcW w:w="4531" w:type="dxa"/>
          </w:tcPr>
          <w:p w14:paraId="03A521C0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Механизмы управляющих действий</w:t>
            </w:r>
          </w:p>
        </w:tc>
        <w:tc>
          <w:tcPr>
            <w:tcW w:w="4962" w:type="dxa"/>
          </w:tcPr>
          <w:p w14:paraId="710C746D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Принуждение к соблюдению действующих нормативных актов, регулирующих профильную деятельность, и применение санкций при их нарушении</w:t>
            </w:r>
          </w:p>
        </w:tc>
      </w:tr>
      <w:tr w:rsidR="00A5383D" w:rsidRPr="00CF25FF" w14:paraId="00CACCFB" w14:textId="77777777" w:rsidTr="00E75C44">
        <w:tc>
          <w:tcPr>
            <w:tcW w:w="4531" w:type="dxa"/>
          </w:tcPr>
          <w:p w14:paraId="4C924530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Защита участников фондового рынка</w:t>
            </w:r>
          </w:p>
        </w:tc>
        <w:tc>
          <w:tcPr>
            <w:tcW w:w="4962" w:type="dxa"/>
          </w:tcPr>
          <w:p w14:paraId="2275159C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функционирования фондового рынка в условиях санкций</w:t>
            </w:r>
          </w:p>
        </w:tc>
      </w:tr>
      <w:tr w:rsidR="00A5383D" w:rsidRPr="00CF25FF" w14:paraId="66C6216F" w14:textId="77777777" w:rsidTr="00E75C44">
        <w:tc>
          <w:tcPr>
            <w:tcW w:w="4531" w:type="dxa"/>
          </w:tcPr>
          <w:p w14:paraId="7F265B59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Установление обменного курса иностранной валюты Центробанком</w:t>
            </w:r>
          </w:p>
        </w:tc>
        <w:tc>
          <w:tcPr>
            <w:tcW w:w="4962" w:type="dxa"/>
          </w:tcPr>
          <w:p w14:paraId="7D8B5EF0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Поддержание внебиржевого оборота иностранной валюты в стране</w:t>
            </w:r>
          </w:p>
        </w:tc>
      </w:tr>
      <w:tr w:rsidR="00A5383D" w:rsidRPr="00CF25FF" w14:paraId="28CD4365" w14:textId="77777777" w:rsidTr="00E75C44">
        <w:tc>
          <w:tcPr>
            <w:tcW w:w="4531" w:type="dxa"/>
          </w:tcPr>
          <w:p w14:paraId="59FD9017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Введение безналичных платежей (СПБ), других бесконтактных способов оплаты</w:t>
            </w:r>
          </w:p>
        </w:tc>
        <w:tc>
          <w:tcPr>
            <w:tcW w:w="4962" w:type="dxa"/>
          </w:tcPr>
          <w:p w14:paraId="6F8DAA5A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Универсализация контроля работы финансовых агрегаторов и платформ</w:t>
            </w:r>
          </w:p>
        </w:tc>
      </w:tr>
      <w:tr w:rsidR="00A5383D" w:rsidRPr="00CF25FF" w14:paraId="4F0E5C26" w14:textId="77777777" w:rsidTr="00E75C44">
        <w:tc>
          <w:tcPr>
            <w:tcW w:w="4531" w:type="dxa"/>
          </w:tcPr>
          <w:p w14:paraId="659F478A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Выпуск цифрового рубля</w:t>
            </w:r>
          </w:p>
        </w:tc>
        <w:tc>
          <w:tcPr>
            <w:tcW w:w="4962" w:type="dxa"/>
          </w:tcPr>
          <w:p w14:paraId="2A886EC6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Повышение устойчивости национальной экономики</w:t>
            </w:r>
          </w:p>
        </w:tc>
      </w:tr>
      <w:tr w:rsidR="00A5383D" w:rsidRPr="00CF25FF" w14:paraId="01BA58F6" w14:textId="77777777" w:rsidTr="00E75C44">
        <w:tc>
          <w:tcPr>
            <w:tcW w:w="4531" w:type="dxa"/>
          </w:tcPr>
          <w:p w14:paraId="74F1FCD0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Регулирование выпуска и обращения ЦФА</w:t>
            </w:r>
          </w:p>
        </w:tc>
        <w:tc>
          <w:tcPr>
            <w:tcW w:w="4962" w:type="dxa"/>
          </w:tcPr>
          <w:p w14:paraId="027C9DB2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Новые возможности мониторинга финансового рынка</w:t>
            </w:r>
          </w:p>
        </w:tc>
      </w:tr>
      <w:tr w:rsidR="00A5383D" w:rsidRPr="00CF25FF" w14:paraId="6B436CC1" w14:textId="77777777" w:rsidTr="00E75C44">
        <w:tc>
          <w:tcPr>
            <w:tcW w:w="9493" w:type="dxa"/>
            <w:gridSpan w:val="2"/>
          </w:tcPr>
          <w:p w14:paraId="64F377AF" w14:textId="77777777" w:rsidR="00A5383D" w:rsidRPr="00CF25FF" w:rsidRDefault="00A5383D" w:rsidP="00E75C4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Механизмы рыночного регулирования</w:t>
            </w:r>
          </w:p>
        </w:tc>
      </w:tr>
      <w:tr w:rsidR="00A5383D" w:rsidRPr="00CF25FF" w14:paraId="57FA5CCB" w14:textId="77777777" w:rsidTr="00E75C44">
        <w:tc>
          <w:tcPr>
            <w:tcW w:w="4531" w:type="dxa"/>
          </w:tcPr>
          <w:p w14:paraId="14B007CD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Приоритет интересов потребителей финансовых услуг</w:t>
            </w:r>
          </w:p>
        </w:tc>
        <w:tc>
          <w:tcPr>
            <w:tcW w:w="4962" w:type="dxa"/>
          </w:tcPr>
          <w:p w14:paraId="4027F54D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 для развития рыночных институтов</w:t>
            </w:r>
          </w:p>
        </w:tc>
      </w:tr>
      <w:tr w:rsidR="00A5383D" w:rsidRPr="00CF25FF" w14:paraId="235E2DF8" w14:textId="77777777" w:rsidTr="00E75C44">
        <w:tc>
          <w:tcPr>
            <w:tcW w:w="4531" w:type="dxa"/>
          </w:tcPr>
          <w:p w14:paraId="3AC6BF13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Режим таргетирования инфляции</w:t>
            </w:r>
          </w:p>
        </w:tc>
        <w:tc>
          <w:tcPr>
            <w:tcW w:w="4962" w:type="dxa"/>
          </w:tcPr>
          <w:p w14:paraId="759D01E2" w14:textId="77777777" w:rsidR="00A5383D" w:rsidRPr="00CF25FF" w:rsidRDefault="00A5383D" w:rsidP="00E75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5FF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сглаживания колебания цен и деловой активности в экономике</w:t>
            </w:r>
          </w:p>
        </w:tc>
      </w:tr>
    </w:tbl>
    <w:p w14:paraId="6F16481A" w14:textId="77777777" w:rsidR="00A5383D" w:rsidRPr="00CF25FF" w:rsidRDefault="00A5383D" w:rsidP="00A538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25FF">
        <w:rPr>
          <w:rFonts w:ascii="Times New Roman" w:hAnsi="Times New Roman" w:cs="Times New Roman"/>
          <w:sz w:val="24"/>
          <w:szCs w:val="24"/>
        </w:rPr>
        <w:lastRenderedPageBreak/>
        <w:t>Составлено автором.</w:t>
      </w:r>
    </w:p>
    <w:p w14:paraId="2B0C9136" w14:textId="77777777" w:rsidR="00A5383D" w:rsidRPr="00CF25FF" w:rsidRDefault="00A5383D" w:rsidP="00A5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FF">
        <w:rPr>
          <w:rFonts w:ascii="Times New Roman" w:hAnsi="Times New Roman" w:cs="Times New Roman"/>
          <w:sz w:val="24"/>
          <w:szCs w:val="24"/>
        </w:rPr>
        <w:t>Проведенная оценка модели управления финансовой системой в условиях противодействия кризису, вызванного введением против России санкций, и сравнение ее с докризисной моделью позволили выявить различия в наборе регулирующих механизмов. В кризисных условиях доминирующими стали государственные механизмы управления финансовой системой, что обусловлено необходимостью реализации ее антикризисного потенциала, который направлен на мобилизацию внутренних резервов функционирования всех секторов и участников финансовой системы. Вместе с тем усиление государственной направленности модели управления финансовой системой осуществляется в ущерб ее рыночной составляющей, где в результате отказа от рыночных механизмов значительно ухудшаются конкурентные условия для различных участников финансовой системы. Это приводит к росту дисбалансов в финансовой системе, которые усугубляются проводимой Центробанком мягкой денежно-кредитной политикой. В то время как ряд жестких мер, таких как повышение процентной ставки, сопровождается снижением стоимости активов, повышением стоимости обслуживания долговых заимствований, усилением волатильности на фондовом рынке и рынке капитала.</w:t>
      </w:r>
    </w:p>
    <w:p w14:paraId="1C2B9E29" w14:textId="65E8D1AB" w:rsidR="00A5383D" w:rsidRPr="00CF25FF" w:rsidRDefault="00A5383D" w:rsidP="00A5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FF">
        <w:rPr>
          <w:rFonts w:ascii="Times New Roman" w:hAnsi="Times New Roman" w:cs="Times New Roman"/>
          <w:sz w:val="24"/>
          <w:szCs w:val="24"/>
        </w:rPr>
        <w:t>Таким образом, трансформация модели управления финансовой системой России в современных условиях направлена на обеспечение ее устойчивости, что достигается новыми подходами регулятора к мониторингу и запуском инструментов обеспечения финансовой стабильности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274B3">
        <w:rPr>
          <w:rFonts w:ascii="Times New Roman" w:hAnsi="Times New Roman" w:cs="Times New Roman"/>
          <w:sz w:val="24"/>
          <w:szCs w:val="24"/>
        </w:rPr>
        <w:t>рассчитанными на среднесрочную перспективу [</w:t>
      </w:r>
      <w:r w:rsidR="002D0B44">
        <w:rPr>
          <w:rFonts w:ascii="Times New Roman" w:hAnsi="Times New Roman" w:cs="Times New Roman"/>
          <w:sz w:val="24"/>
          <w:szCs w:val="24"/>
        </w:rPr>
        <w:t>2</w:t>
      </w:r>
      <w:r w:rsidRPr="004274B3">
        <w:rPr>
          <w:rFonts w:ascii="Times New Roman" w:hAnsi="Times New Roman" w:cs="Times New Roman"/>
          <w:sz w:val="24"/>
          <w:szCs w:val="24"/>
        </w:rPr>
        <w:t xml:space="preserve">]. </w:t>
      </w:r>
      <w:r w:rsidRPr="00CF25FF">
        <w:rPr>
          <w:rFonts w:ascii="Times New Roman" w:hAnsi="Times New Roman" w:cs="Times New Roman"/>
          <w:sz w:val="24"/>
          <w:szCs w:val="24"/>
        </w:rPr>
        <w:t xml:space="preserve"> При этом ограничение ряда рыночных механизмов можно рассматривать как временную меру [</w:t>
      </w:r>
      <w:r w:rsidR="002D0B44">
        <w:rPr>
          <w:rFonts w:ascii="Times New Roman" w:hAnsi="Times New Roman" w:cs="Times New Roman"/>
          <w:sz w:val="24"/>
          <w:szCs w:val="24"/>
        </w:rPr>
        <w:t>1</w:t>
      </w:r>
      <w:r w:rsidRPr="00CF25FF">
        <w:rPr>
          <w:rFonts w:ascii="Times New Roman" w:hAnsi="Times New Roman" w:cs="Times New Roman"/>
          <w:sz w:val="24"/>
          <w:szCs w:val="24"/>
        </w:rPr>
        <w:t>].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5FF">
        <w:rPr>
          <w:rFonts w:ascii="Times New Roman" w:hAnsi="Times New Roman" w:cs="Times New Roman"/>
          <w:sz w:val="24"/>
          <w:szCs w:val="24"/>
        </w:rPr>
        <w:t xml:space="preserve">В перспективе активизация деятельности Центробанка по совершенствованию инфраструктуры финансового рынка может выступить положительным фактором повышения степени конкуренции между участниками рынка и способствовать реализации имеющегося у финансовой системы резервного потенциала, открывающего возможности привлечения внутренних инвестиционных ресурсов. </w:t>
      </w:r>
    </w:p>
    <w:p w14:paraId="505F40B1" w14:textId="77777777" w:rsidR="00A5383D" w:rsidRPr="00CF25FF" w:rsidRDefault="00A5383D" w:rsidP="00A53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41B02C" w14:textId="77777777" w:rsidR="00A5383D" w:rsidRPr="00CF25FF" w:rsidRDefault="00A5383D" w:rsidP="00A5383D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22EB4B72" w14:textId="77777777" w:rsidR="002D0B44" w:rsidRPr="002D0B44" w:rsidRDefault="00A5383D" w:rsidP="006D0C12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kern w:val="0"/>
          <w:sz w:val="24"/>
          <w:szCs w:val="24"/>
          <w:u w:val="single"/>
        </w:rPr>
      </w:pPr>
      <w:r w:rsidRPr="002D0B44">
        <w:rPr>
          <w:rFonts w:ascii="Times New Roman" w:hAnsi="Times New Roman" w:cs="Times New Roman"/>
          <w:sz w:val="24"/>
          <w:szCs w:val="24"/>
        </w:rPr>
        <w:t>Крутова Н. А. Анализ современных тенденций развития финансового рынка в России / Н.А. Крутова, Е.В. Коробейникова, А.А. Высоцкая // Вестник евразийской науки. - 2023.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D0B44">
        <w:rPr>
          <w:rFonts w:ascii="Times New Roman" w:hAnsi="Times New Roman" w:cs="Times New Roman"/>
          <w:sz w:val="24"/>
          <w:szCs w:val="24"/>
        </w:rPr>
        <w:t>- Т.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D0B44">
        <w:rPr>
          <w:rFonts w:ascii="Times New Roman" w:hAnsi="Times New Roman" w:cs="Times New Roman"/>
          <w:sz w:val="24"/>
          <w:szCs w:val="24"/>
        </w:rPr>
        <w:t>15.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D0B44">
        <w:rPr>
          <w:rFonts w:ascii="Times New Roman" w:hAnsi="Times New Roman" w:cs="Times New Roman"/>
          <w:sz w:val="24"/>
          <w:szCs w:val="24"/>
        </w:rPr>
        <w:t>- №3.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D0B44">
        <w:rPr>
          <w:rFonts w:ascii="Times New Roman" w:hAnsi="Times New Roman" w:cs="Times New Roman"/>
          <w:sz w:val="24"/>
          <w:szCs w:val="24"/>
        </w:rPr>
        <w:t xml:space="preserve">[Электронный ресурс]. 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2D0B44">
        <w:rPr>
          <w:rFonts w:ascii="Times New Roman" w:hAnsi="Times New Roman" w:cs="Times New Roman"/>
          <w:sz w:val="24"/>
          <w:szCs w:val="24"/>
        </w:rPr>
        <w:t xml:space="preserve">: 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2D0B4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2D0B44">
        <w:rPr>
          <w:rFonts w:ascii="Times New Roman" w:hAnsi="Times New Roman" w:cs="Times New Roman"/>
          <w:sz w:val="24"/>
          <w:szCs w:val="24"/>
          <w:lang w:val="en-US"/>
        </w:rPr>
        <w:t>esj</w:t>
      </w:r>
      <w:proofErr w:type="spellEnd"/>
      <w:r w:rsidRPr="002D0B44">
        <w:rPr>
          <w:rFonts w:ascii="Times New Roman" w:hAnsi="Times New Roman" w:cs="Times New Roman"/>
          <w:sz w:val="24"/>
          <w:szCs w:val="24"/>
        </w:rPr>
        <w:t>.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today</w:t>
      </w:r>
      <w:r w:rsidRPr="002D0B44">
        <w:rPr>
          <w:rFonts w:ascii="Times New Roman" w:hAnsi="Times New Roman" w:cs="Times New Roman"/>
          <w:sz w:val="24"/>
          <w:szCs w:val="24"/>
        </w:rPr>
        <w:t>/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2D0B44">
        <w:rPr>
          <w:rFonts w:ascii="Times New Roman" w:hAnsi="Times New Roman" w:cs="Times New Roman"/>
          <w:sz w:val="24"/>
          <w:szCs w:val="24"/>
        </w:rPr>
        <w:t>/85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ECVN</w:t>
      </w:r>
      <w:r w:rsidRPr="002D0B44">
        <w:rPr>
          <w:rFonts w:ascii="Times New Roman" w:hAnsi="Times New Roman" w:cs="Times New Roman"/>
          <w:sz w:val="24"/>
          <w:szCs w:val="24"/>
        </w:rPr>
        <w:t>323.</w:t>
      </w:r>
      <w:r w:rsidRPr="002D0B44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Pr="002D0B44">
        <w:rPr>
          <w:rFonts w:ascii="Times New Roman" w:hAnsi="Times New Roman" w:cs="Times New Roman"/>
          <w:sz w:val="24"/>
          <w:szCs w:val="24"/>
        </w:rPr>
        <w:t xml:space="preserve"> </w:t>
      </w:r>
      <w:r w:rsidR="002D0B44" w:rsidRPr="002D0B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5D5854" w14:textId="0CE75D19" w:rsidR="00A5383D" w:rsidRPr="002D0B44" w:rsidRDefault="00A5383D" w:rsidP="006D0C12">
      <w:pPr>
        <w:pStyle w:val="a8"/>
        <w:numPr>
          <w:ilvl w:val="0"/>
          <w:numId w:val="4"/>
        </w:numPr>
        <w:spacing w:after="0" w:line="240" w:lineRule="auto"/>
        <w:jc w:val="both"/>
        <w:rPr>
          <w:rStyle w:val="a3"/>
          <w:rFonts w:ascii="Times New Roman" w:hAnsi="Times New Roman" w:cs="Times New Roman"/>
          <w:kern w:val="0"/>
          <w:sz w:val="24"/>
          <w:szCs w:val="24"/>
        </w:rPr>
      </w:pPr>
      <w:r w:rsidRPr="002D0B44">
        <w:rPr>
          <w:rFonts w:ascii="Times New Roman" w:hAnsi="Times New Roman" w:cs="Times New Roman"/>
          <w:kern w:val="0"/>
          <w:sz w:val="24"/>
          <w:szCs w:val="24"/>
        </w:rPr>
        <w:t>Пищик В.Я. Особенности и направления трансформации модели управления финансово-экономической системой России в условиях усиления глобальных вызовов / В.Я. Пищик, П.В. Алексеев П.В.  // Экономика. Налоги. Право. - 2022. - Т. 15. - № 4. - С. 6-</w:t>
      </w:r>
      <w:r w:rsidRPr="002D0B4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</w:t>
      </w:r>
      <w:r w:rsidRPr="002D0B44">
        <w:rPr>
          <w:rFonts w:ascii="Times New Roman" w:hAnsi="Times New Roman" w:cs="Times New Roman"/>
          <w:kern w:val="0"/>
          <w:sz w:val="24"/>
          <w:szCs w:val="24"/>
        </w:rPr>
        <w:t xml:space="preserve">6. </w:t>
      </w:r>
    </w:p>
    <w:p w14:paraId="7D9CDD55" w14:textId="77777777" w:rsidR="00FF4BBF" w:rsidRPr="002D0B44" w:rsidRDefault="00FF4BBF" w:rsidP="004350C3">
      <w:pPr>
        <w:jc w:val="center"/>
        <w:rPr>
          <w:lang w:val="en-US"/>
        </w:rPr>
      </w:pPr>
    </w:p>
    <w:sectPr w:rsidR="00FF4BBF" w:rsidRPr="002D0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FA002" w14:textId="77777777" w:rsidR="00537B80" w:rsidRDefault="00537B80" w:rsidP="00C7008E">
      <w:pPr>
        <w:spacing w:after="0" w:line="240" w:lineRule="auto"/>
      </w:pPr>
      <w:r>
        <w:separator/>
      </w:r>
    </w:p>
  </w:endnote>
  <w:endnote w:type="continuationSeparator" w:id="0">
    <w:p w14:paraId="6C12D1FF" w14:textId="77777777" w:rsidR="00537B80" w:rsidRDefault="00537B80" w:rsidP="00C70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D476F" w14:textId="77777777" w:rsidR="00537B80" w:rsidRDefault="00537B80" w:rsidP="00C7008E">
      <w:pPr>
        <w:spacing w:after="0" w:line="240" w:lineRule="auto"/>
      </w:pPr>
      <w:r>
        <w:separator/>
      </w:r>
    </w:p>
  </w:footnote>
  <w:footnote w:type="continuationSeparator" w:id="0">
    <w:p w14:paraId="173E71C3" w14:textId="77777777" w:rsidR="00537B80" w:rsidRDefault="00537B80" w:rsidP="00C70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1EBD"/>
    <w:multiLevelType w:val="hybridMultilevel"/>
    <w:tmpl w:val="2E362C10"/>
    <w:lvl w:ilvl="0" w:tplc="C884EF04">
      <w:start w:val="5"/>
      <w:numFmt w:val="bullet"/>
      <w:lvlText w:val="-"/>
      <w:lvlJc w:val="left"/>
      <w:pPr>
        <w:ind w:left="14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1" w15:restartNumberingAfterBreak="0">
    <w:nsid w:val="60170B5B"/>
    <w:multiLevelType w:val="hybridMultilevel"/>
    <w:tmpl w:val="0DDC1B50"/>
    <w:lvl w:ilvl="0" w:tplc="9BB4DFE6">
      <w:start w:val="5"/>
      <w:numFmt w:val="bullet"/>
      <w:lvlText w:val="-"/>
      <w:lvlJc w:val="left"/>
      <w:pPr>
        <w:ind w:left="14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5" w:hanging="360"/>
      </w:pPr>
      <w:rPr>
        <w:rFonts w:ascii="Wingdings" w:hAnsi="Wingdings" w:hint="default"/>
      </w:rPr>
    </w:lvl>
  </w:abstractNum>
  <w:abstractNum w:abstractNumId="2" w15:restartNumberingAfterBreak="0">
    <w:nsid w:val="69813691"/>
    <w:multiLevelType w:val="hybridMultilevel"/>
    <w:tmpl w:val="99D89EEE"/>
    <w:lvl w:ilvl="0" w:tplc="66F687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3B4DD7"/>
    <w:multiLevelType w:val="hybridMultilevel"/>
    <w:tmpl w:val="E0BE8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5452673">
    <w:abstractNumId w:val="2"/>
  </w:num>
  <w:num w:numId="2" w16cid:durableId="408235576">
    <w:abstractNumId w:val="1"/>
  </w:num>
  <w:num w:numId="3" w16cid:durableId="1186482489">
    <w:abstractNumId w:val="0"/>
  </w:num>
  <w:num w:numId="4" w16cid:durableId="1523595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D0"/>
    <w:rsid w:val="00031716"/>
    <w:rsid w:val="00065A43"/>
    <w:rsid w:val="000D516E"/>
    <w:rsid w:val="001149D0"/>
    <w:rsid w:val="001F0509"/>
    <w:rsid w:val="00236901"/>
    <w:rsid w:val="002D0B44"/>
    <w:rsid w:val="002E47FA"/>
    <w:rsid w:val="002E4F43"/>
    <w:rsid w:val="002F3C5B"/>
    <w:rsid w:val="0034648C"/>
    <w:rsid w:val="004350C3"/>
    <w:rsid w:val="0048314E"/>
    <w:rsid w:val="005166DD"/>
    <w:rsid w:val="00537B80"/>
    <w:rsid w:val="0056260D"/>
    <w:rsid w:val="005F2B09"/>
    <w:rsid w:val="00654BA2"/>
    <w:rsid w:val="006628B5"/>
    <w:rsid w:val="006679BA"/>
    <w:rsid w:val="006962DC"/>
    <w:rsid w:val="006A3050"/>
    <w:rsid w:val="00702051"/>
    <w:rsid w:val="00724BFF"/>
    <w:rsid w:val="007B57B5"/>
    <w:rsid w:val="007D4DBB"/>
    <w:rsid w:val="007E385C"/>
    <w:rsid w:val="00913094"/>
    <w:rsid w:val="009F2637"/>
    <w:rsid w:val="00A5383D"/>
    <w:rsid w:val="00AD1E92"/>
    <w:rsid w:val="00B10966"/>
    <w:rsid w:val="00B67A96"/>
    <w:rsid w:val="00B85B45"/>
    <w:rsid w:val="00BA60AE"/>
    <w:rsid w:val="00BB0031"/>
    <w:rsid w:val="00BD14C5"/>
    <w:rsid w:val="00BD71D6"/>
    <w:rsid w:val="00C40423"/>
    <w:rsid w:val="00C7008E"/>
    <w:rsid w:val="00CB1585"/>
    <w:rsid w:val="00D3086F"/>
    <w:rsid w:val="00D34A99"/>
    <w:rsid w:val="00D71450"/>
    <w:rsid w:val="00E0713A"/>
    <w:rsid w:val="00E07CDF"/>
    <w:rsid w:val="00F74EA6"/>
    <w:rsid w:val="00FA56C4"/>
    <w:rsid w:val="00FF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8566"/>
  <w15:chartTrackingRefBased/>
  <w15:docId w15:val="{9DFB7B46-5F26-4168-B8D5-46DCE531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4BB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C7008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7008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7008E"/>
    <w:rPr>
      <w:vertAlign w:val="superscript"/>
    </w:rPr>
  </w:style>
  <w:style w:type="character" w:styleId="a7">
    <w:name w:val="Unresolved Mention"/>
    <w:basedOn w:val="a0"/>
    <w:uiPriority w:val="99"/>
    <w:semiHidden/>
    <w:unhideWhenUsed/>
    <w:rsid w:val="006A3050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6A3050"/>
    <w:pPr>
      <w:ind w:left="720"/>
      <w:contextualSpacing/>
    </w:pPr>
  </w:style>
  <w:style w:type="table" w:styleId="a9">
    <w:name w:val="Table Grid"/>
    <w:basedOn w:val="a1"/>
    <w:uiPriority w:val="39"/>
    <w:rsid w:val="00A53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khturov.1999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2CFC3-1EC3-4D14-9732-589200DCA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Купцова</dc:creator>
  <cp:keywords/>
  <dc:description/>
  <cp:lastModifiedBy>Ирина Купцова</cp:lastModifiedBy>
  <cp:revision>3</cp:revision>
  <dcterms:created xsi:type="dcterms:W3CDTF">2025-03-08T15:23:00Z</dcterms:created>
  <dcterms:modified xsi:type="dcterms:W3CDTF">2025-03-08T15:34:00Z</dcterms:modified>
</cp:coreProperties>
</file>