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Моделирование бортовой деятельности группировки спутников дистанционного зондирования Земли</w:t>
      </w:r>
    </w:p>
    <w:p w:rsidR="00000000" w:rsidDel="00000000" w:rsidP="00000000" w:rsidRDefault="00000000" w:rsidRPr="00000000" w14:paraId="00000002">
      <w:pPr>
        <w:spacing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Яганов Р.Т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., Сазонова С.В.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1б</w:t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1а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студент 6-го курса,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1б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кандидат ф-м.н.</w:t>
      </w:r>
    </w:p>
    <w:p w:rsidR="00000000" w:rsidDel="00000000" w:rsidP="00000000" w:rsidRDefault="00000000" w:rsidRPr="00000000" w14:paraId="00000005">
      <w:pPr>
        <w:shd w:fill="ffffff" w:val="clear"/>
        <w:spacing w:before="24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Московский государственный университет имени М.В. Ломоносова,</w:t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факультет космических исследований, Москва, Россия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E-mail: rusyaganoff@ya.ru</w:t>
      </w:r>
    </w:p>
    <w:p w:rsidR="00000000" w:rsidDel="00000000" w:rsidP="00000000" w:rsidRDefault="00000000" w:rsidRPr="00000000" w14:paraId="00000008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последние годы наблюдается рост числа космических миссий, охватывающих широкий спектр целей — от научных исследований космических явлений до амбициозных проектов колонизации других планет и создания межпланетных сетей. Ключевым фактором успеха таких миссий является обеспечение надежной связи. Для передачи данных космическим аппаратам, спутникам и другим объектам в космосе требуются мощные передатчики [1]. Связь в космическом пространстве непостоянна и прерывиста, поскольку космические аппараты находятся вне зоны прямой видимости друг друга и стационарных приемников и в течение длительных периодов времени.</w:t>
      </w:r>
    </w:p>
    <w:p w:rsidR="00000000" w:rsidDel="00000000" w:rsidP="00000000" w:rsidRDefault="00000000" w:rsidRPr="00000000" w14:paraId="00000009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эффективной связи в космосе требуются специальные протоколы и технологии, отличные от TCP/IP, используемых на Земле. Примерами являются Delay Tolerant Network (DTN) [2] и Contact Graph Routing (CGR) [3, 4].</w:t>
        <w:br w:type="textWrapping"/>
        <w:t xml:space="preserve"> В данном исследовании фокус направлен на анализ коммуникации между спутниковой группировкой, предназначенной для дистанционного зондирования Земли, и наземными станциями. Перед нами стоит задача маршрутизации в разреженном графе. Кроме того, мы проводим сравнение эффективности различных алгоритмов маршрутизации.</w:t>
      </w:r>
    </w:p>
    <w:p w:rsidR="00000000" w:rsidDel="00000000" w:rsidP="00000000" w:rsidRDefault="00000000" w:rsidRPr="00000000" w14:paraId="0000000A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успешного решения этих задач требуется разработка эффективного инструмента, обладающего достаточной гибкостью. Этот инструмент должен позволять проводить эксперименты с различными конфигурациями спутниковых группировок и структурами данных, чтобы обеспечить максимальную адаптацию к различным сценариям моделирования.</w:t>
      </w:r>
    </w:p>
    <w:p w:rsidR="00000000" w:rsidDel="00000000" w:rsidP="00000000" w:rsidRDefault="00000000" w:rsidRPr="00000000" w14:paraId="0000000B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Результатом работы стала библиотека, которая представляет собой инструмент для моделирования взаимодействия между сетью спутников ДЗЗ и наземными станциями. Эта библиотека обеспечивает возможность тестирования различных алгоритмов маршрутизации данных на спутниках и имитации передачи информации. Пользователи могут настраивать структуру обрабатываемых пакетов данных под требования выбранного сценария моделирования, а также задавать функцию расчета ценности пакета при принятии решений о маршрутизации данных. Одной из ключевых особенностей библиотеки является возможность создания многопоточных программ, где каждый агент функционирует независимо. После проведения сеанса моделирования библиотека предоставляет инструменты для оценки эффективности связи и сравнения различных методов маршрутизации данных.</w:t>
      </w:r>
    </w:p>
    <w:p w:rsidR="00000000" w:rsidDel="00000000" w:rsidP="00000000" w:rsidRDefault="00000000" w:rsidRPr="00000000" w14:paraId="0000000C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</w:t>
        <w:tab/>
        <w:t xml:space="preserve">Abedi, J. M. Alcaraz-Calero, S. C. Mukhopadhyay, P. D. Mitchell, H. </w:t>
        <w:tab/>
        <w:t xml:space="preserve">F. Rashvand. (2014). Wireless sensor systems for space and extreme </w:t>
        <w:tab/>
        <w:t xml:space="preserve">environments: a review. IEEE </w:t>
        <w:tab/>
        <w:t xml:space="preserve">Sensors Journal, vol. 14, no. 11, pp. 3955–3970.</w:t>
        <w:br w:type="textWrapping"/>
        <w:t xml:space="preserve"> </w:t>
        <w:tab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 </w:t>
        <w:tab/>
        <w:t xml:space="preserve">Burleigh, A. Hooke, L. Torgerson et al., «Delay-tolerant </w:t>
        <w:tab/>
        <w:t xml:space="preserve">networking: an approach to interplanetary internet.» IEEE </w:t>
        <w:tab/>
        <w:t xml:space="preserve">Communications Magazine, vol. 41, no. 6, pp. 128–136, 2003.</w:t>
        <w:br w:type="textWrapping"/>
        <w:t xml:space="preserve"> </w:t>
        <w:tab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S. </w:t>
        <w:tab/>
        <w:t xml:space="preserve">Burleigh, E. Jennings, J. Segui., «Enhancing contact graph routing </w:t>
        <w:tab/>
        <w:t xml:space="preserve">for delay tolerant space networking.» in Proceedings of the IEEE </w:t>
        <w:tab/>
        <w:t xml:space="preserve">Global Telecommunications Conference, GLOBECOM, pp. 1–6, IEEE, </w:t>
        <w:tab/>
        <w:t xml:space="preserve">Kathmandu, Nepal, December 2011.</w:t>
        <w:br w:type="textWrapping"/>
        <w:t xml:space="preserve"> </w:t>
        <w:tab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E. </w:t>
        <w:tab/>
        <w:t xml:space="preserve">Birrane, S. Burleigh, &amp; N. Kasch, «Analysis of the contact </w:t>
        <w:tab/>
        <w:t xml:space="preserve">graph routing algorithm: bounding interplanetary paths.» Acta </w:t>
        <w:tab/>
        <w:t xml:space="preserve">Astronautica, vol. 75, pp. 108–119, 2012.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