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E566C" w14:textId="48736F05" w:rsidR="000D6534" w:rsidRPr="00423DB7" w:rsidRDefault="00250CB4" w:rsidP="00423DB7">
      <w:pPr>
        <w:spacing w:line="240" w:lineRule="auto"/>
        <w:ind w:left="-5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3DB7">
        <w:rPr>
          <w:rFonts w:ascii="Times New Roman" w:hAnsi="Times New Roman" w:cs="Times New Roman"/>
          <w:b/>
          <w:bCs/>
          <w:sz w:val="24"/>
          <w:szCs w:val="24"/>
        </w:rPr>
        <w:t xml:space="preserve">Запреты </w:t>
      </w:r>
      <w:r w:rsidR="005A67C2" w:rsidRPr="00423DB7">
        <w:rPr>
          <w:rFonts w:ascii="Times New Roman" w:hAnsi="Times New Roman" w:cs="Times New Roman"/>
          <w:b/>
          <w:bCs/>
          <w:sz w:val="24"/>
          <w:szCs w:val="24"/>
        </w:rPr>
        <w:t xml:space="preserve">катаими и моноими </w:t>
      </w:r>
      <w:r w:rsidR="000D6534" w:rsidRPr="00423DB7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423DB7">
        <w:rPr>
          <w:rFonts w:ascii="Times New Roman" w:hAnsi="Times New Roman" w:cs="Times New Roman"/>
          <w:b/>
          <w:bCs/>
          <w:sz w:val="24"/>
          <w:szCs w:val="24"/>
        </w:rPr>
        <w:t>средневековой Японии</w:t>
      </w:r>
    </w:p>
    <w:p w14:paraId="1F72511B" w14:textId="77777777" w:rsidR="000D6534" w:rsidRPr="00423DB7" w:rsidRDefault="000D6534" w:rsidP="00423DB7">
      <w:pPr>
        <w:pStyle w:val="p25ft4"/>
        <w:spacing w:before="15" w:beforeAutospacing="0" w:afterLines="80" w:after="192" w:afterAutospacing="0"/>
        <w:ind w:left="-57" w:firstLine="567"/>
        <w:jc w:val="center"/>
        <w:rPr>
          <w:b/>
          <w:color w:val="000000"/>
        </w:rPr>
      </w:pPr>
      <w:r w:rsidRPr="00423DB7">
        <w:rPr>
          <w:b/>
          <w:i/>
          <w:color w:val="000000"/>
        </w:rPr>
        <w:t>Чернецкая Полина Игоревна</w:t>
      </w:r>
    </w:p>
    <w:p w14:paraId="7F9E34AC" w14:textId="6113F2AF" w:rsidR="000D6534" w:rsidRPr="00423DB7" w:rsidRDefault="000D6534" w:rsidP="00423DB7">
      <w:pPr>
        <w:spacing w:afterLines="80" w:after="192" w:line="240" w:lineRule="auto"/>
        <w:ind w:left="-57" w:firstLine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23DB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Студентка, </w:t>
      </w:r>
      <w:r w:rsidR="005A67C2" w:rsidRPr="00423DB7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Pr="00423DB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курса магистратуры</w:t>
      </w:r>
    </w:p>
    <w:p w14:paraId="7357AFB4" w14:textId="77777777" w:rsidR="000D6534" w:rsidRPr="00423DB7" w:rsidRDefault="000D6534" w:rsidP="00423DB7">
      <w:pPr>
        <w:spacing w:afterLines="80" w:after="192" w:line="240" w:lineRule="auto"/>
        <w:ind w:left="-57" w:firstLine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23DB7">
        <w:rPr>
          <w:rFonts w:ascii="Times New Roman" w:eastAsia="Times New Roman" w:hAnsi="Times New Roman" w:cs="Times New Roman"/>
          <w:i/>
          <w:iCs/>
          <w:color w:val="353535"/>
          <w:sz w:val="24"/>
          <w:szCs w:val="24"/>
        </w:rPr>
        <w:t>Московский государственный университет имени М.В.Ломоносова,</w:t>
      </w:r>
    </w:p>
    <w:p w14:paraId="05FC8B19" w14:textId="77777777" w:rsidR="000D6534" w:rsidRPr="00423DB7" w:rsidRDefault="000D6534" w:rsidP="00423DB7">
      <w:pPr>
        <w:spacing w:afterLines="80" w:after="192" w:line="240" w:lineRule="auto"/>
        <w:ind w:left="-57" w:firstLine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23DB7">
        <w:rPr>
          <w:rFonts w:ascii="Times New Roman" w:eastAsia="Times New Roman" w:hAnsi="Times New Roman" w:cs="Times New Roman"/>
          <w:i/>
          <w:iCs/>
          <w:sz w:val="24"/>
          <w:szCs w:val="24"/>
        </w:rPr>
        <w:t>Институт стран Азии и Африки, Москва, Россия</w:t>
      </w:r>
    </w:p>
    <w:p w14:paraId="4470F78D" w14:textId="77777777" w:rsidR="000D6534" w:rsidRPr="00423DB7" w:rsidRDefault="000D6534" w:rsidP="00423DB7">
      <w:pPr>
        <w:spacing w:afterLines="80" w:after="192" w:line="240" w:lineRule="auto"/>
        <w:ind w:left="-57" w:firstLine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23DB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Email</w:t>
      </w:r>
      <w:r w:rsidRPr="00423DB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r w:rsidRPr="00423DB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polly</w:t>
      </w:r>
      <w:r w:rsidRPr="00423DB7">
        <w:rPr>
          <w:rFonts w:ascii="Times New Roman" w:hAnsi="Times New Roman" w:cs="Times New Roman"/>
          <w:i/>
          <w:color w:val="000000"/>
          <w:sz w:val="24"/>
          <w:szCs w:val="24"/>
        </w:rPr>
        <w:t>_</w:t>
      </w:r>
      <w:r w:rsidRPr="00423DB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cherneckaya</w:t>
      </w:r>
      <w:r w:rsidRPr="00423DB7">
        <w:rPr>
          <w:rFonts w:ascii="Times New Roman" w:hAnsi="Times New Roman" w:cs="Times New Roman"/>
          <w:i/>
          <w:color w:val="000000"/>
          <w:sz w:val="24"/>
          <w:szCs w:val="24"/>
        </w:rPr>
        <w:t>@</w:t>
      </w:r>
      <w:r w:rsidRPr="00423DB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mail</w:t>
      </w:r>
      <w:r w:rsidRPr="00423DB7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423DB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ru</w:t>
      </w:r>
    </w:p>
    <w:p w14:paraId="2C1B5D32" w14:textId="63146015" w:rsidR="00333158" w:rsidRPr="00423DB7" w:rsidRDefault="00333158" w:rsidP="00423DB7">
      <w:pPr>
        <w:pStyle w:val="a7"/>
        <w:spacing w:before="0" w:beforeAutospacing="0" w:after="0" w:afterAutospacing="0"/>
        <w:ind w:firstLine="567"/>
        <w:jc w:val="both"/>
        <w:rPr>
          <w:rFonts w:eastAsiaTheme="minorEastAsia"/>
        </w:rPr>
      </w:pPr>
      <w:r w:rsidRPr="00423DB7">
        <w:rPr>
          <w:rFonts w:eastAsiaTheme="minorEastAsia"/>
        </w:rPr>
        <w:t xml:space="preserve">В период Хэйан можно было стать уязвимым не только из-за </w:t>
      </w:r>
      <w:r w:rsidRPr="00423DB7">
        <w:rPr>
          <w:rFonts w:eastAsiaTheme="minorEastAsia"/>
          <w:i/>
          <w:iCs/>
        </w:rPr>
        <w:t>кэгарэ</w:t>
      </w:r>
      <w:r w:rsidRPr="00423DB7">
        <w:rPr>
          <w:rFonts w:eastAsiaTheme="minorEastAsia"/>
        </w:rPr>
        <w:t>, осквернения, но и по другим причинам. Например, в зависимости от расположения небесных светил представляла опасность та или иная сторона света. Специалисты в области т</w:t>
      </w:r>
      <w:r w:rsidR="00A84EDC">
        <w:rPr>
          <w:rFonts w:eastAsiaTheme="minorEastAsia"/>
        </w:rPr>
        <w:t>ё</w:t>
      </w:r>
      <w:r w:rsidRPr="00423DB7">
        <w:rPr>
          <w:rFonts w:eastAsiaTheme="minorEastAsia"/>
        </w:rPr>
        <w:t xml:space="preserve">мных и светлых сил (оммё:дзи) подсчитывали, когда и где может поджидать опасность, советовали, как её миновать, и составляли календари, учитывая </w:t>
      </w:r>
      <w:r w:rsidRPr="00423DB7">
        <w:rPr>
          <w:rFonts w:eastAsiaTheme="minorEastAsia"/>
          <w:i/>
          <w:iCs/>
        </w:rPr>
        <w:t>катаими</w:t>
      </w:r>
      <w:r w:rsidRPr="00423DB7">
        <w:rPr>
          <w:rFonts w:eastAsiaTheme="minorEastAsia"/>
        </w:rPr>
        <w:t xml:space="preserve"> – запреты на направления.</w:t>
      </w:r>
    </w:p>
    <w:p w14:paraId="30D314CB" w14:textId="2AF8FFE6" w:rsidR="00333158" w:rsidRPr="00423DB7" w:rsidRDefault="00333158" w:rsidP="00423DB7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23DB7">
        <w:rPr>
          <w:rFonts w:ascii="Times New Roman" w:hAnsi="Times New Roman" w:cs="Times New Roman"/>
          <w:sz w:val="24"/>
          <w:szCs w:val="24"/>
        </w:rPr>
        <w:t xml:space="preserve">Меры по предотвращению последствий запрета – </w:t>
      </w:r>
      <w:r w:rsidRPr="00423DB7">
        <w:rPr>
          <w:rFonts w:ascii="Times New Roman" w:hAnsi="Times New Roman" w:cs="Times New Roman"/>
          <w:i/>
          <w:iCs/>
          <w:sz w:val="24"/>
          <w:szCs w:val="24"/>
        </w:rPr>
        <w:t>кататагаэ</w:t>
      </w:r>
      <w:r w:rsidRPr="00423DB7">
        <w:rPr>
          <w:rFonts w:ascii="Times New Roman" w:hAnsi="Times New Roman" w:cs="Times New Roman"/>
          <w:sz w:val="24"/>
          <w:szCs w:val="24"/>
        </w:rPr>
        <w:t xml:space="preserve"> – были основаны на знании невидимых перемещений определённых божеств, которые отправлялись с неба на землю в соответствии с установленным календарём. Существовало пять основных «странствующих божеств» (</w:t>
      </w:r>
      <w:r w:rsidRPr="00423DB7">
        <w:rPr>
          <w:rFonts w:ascii="Times New Roman" w:hAnsi="Times New Roman" w:cs="Times New Roman"/>
          <w:i/>
          <w:iCs/>
          <w:sz w:val="24"/>
          <w:szCs w:val="24"/>
        </w:rPr>
        <w:t>югё:дзин</w:t>
      </w:r>
      <w:r w:rsidRPr="00423DB7">
        <w:rPr>
          <w:rFonts w:ascii="Times New Roman" w:hAnsi="Times New Roman" w:cs="Times New Roman"/>
          <w:sz w:val="24"/>
          <w:szCs w:val="24"/>
        </w:rPr>
        <w:t>): Полярная звезда (</w:t>
      </w:r>
      <w:r w:rsidRPr="00423DB7">
        <w:rPr>
          <w:rFonts w:ascii="Times New Roman" w:hAnsi="Times New Roman" w:cs="Times New Roman"/>
          <w:i/>
          <w:iCs/>
          <w:sz w:val="24"/>
          <w:szCs w:val="24"/>
        </w:rPr>
        <w:t>Тэнъити или Накагами</w:t>
      </w:r>
      <w:r w:rsidRPr="00423DB7">
        <w:rPr>
          <w:rFonts w:ascii="Times New Roman" w:hAnsi="Times New Roman" w:cs="Times New Roman"/>
          <w:sz w:val="24"/>
          <w:szCs w:val="24"/>
        </w:rPr>
        <w:t>), планета Венера (</w:t>
      </w:r>
      <w:r w:rsidRPr="00423DB7">
        <w:rPr>
          <w:rFonts w:ascii="Times New Roman" w:hAnsi="Times New Roman" w:cs="Times New Roman"/>
          <w:i/>
          <w:iCs/>
          <w:sz w:val="24"/>
          <w:szCs w:val="24"/>
        </w:rPr>
        <w:t>Тайхаку</w:t>
      </w:r>
      <w:r w:rsidRPr="00423DB7">
        <w:rPr>
          <w:rFonts w:ascii="Times New Roman" w:hAnsi="Times New Roman" w:cs="Times New Roman"/>
          <w:sz w:val="24"/>
          <w:szCs w:val="24"/>
        </w:rPr>
        <w:t>), великий полководец (</w:t>
      </w:r>
      <w:r w:rsidRPr="00423DB7">
        <w:rPr>
          <w:rFonts w:ascii="Times New Roman" w:hAnsi="Times New Roman" w:cs="Times New Roman"/>
          <w:i/>
          <w:iCs/>
          <w:sz w:val="24"/>
          <w:szCs w:val="24"/>
        </w:rPr>
        <w:t>Дайсё:гун</w:t>
      </w:r>
      <w:r w:rsidRPr="00423DB7">
        <w:rPr>
          <w:rFonts w:ascii="Times New Roman" w:hAnsi="Times New Roman" w:cs="Times New Roman"/>
          <w:sz w:val="24"/>
          <w:szCs w:val="24"/>
        </w:rPr>
        <w:t>), дух металла (</w:t>
      </w:r>
      <w:r w:rsidRPr="00423DB7">
        <w:rPr>
          <w:rFonts w:ascii="Times New Roman" w:hAnsi="Times New Roman" w:cs="Times New Roman"/>
          <w:i/>
          <w:iCs/>
          <w:sz w:val="24"/>
          <w:szCs w:val="24"/>
        </w:rPr>
        <w:t>Кондзин</w:t>
      </w:r>
      <w:r w:rsidRPr="00423DB7">
        <w:rPr>
          <w:rFonts w:ascii="Times New Roman" w:hAnsi="Times New Roman" w:cs="Times New Roman"/>
          <w:sz w:val="24"/>
          <w:szCs w:val="24"/>
        </w:rPr>
        <w:t>) и олицетворение силы Пяти стихий (</w:t>
      </w:r>
      <w:r w:rsidRPr="00423DB7">
        <w:rPr>
          <w:rFonts w:ascii="Times New Roman" w:hAnsi="Times New Roman" w:cs="Times New Roman"/>
          <w:i/>
          <w:iCs/>
          <w:sz w:val="24"/>
          <w:szCs w:val="24"/>
        </w:rPr>
        <w:t>О:со:</w:t>
      </w:r>
      <w:r w:rsidRPr="00423DB7">
        <w:rPr>
          <w:rFonts w:ascii="Times New Roman" w:hAnsi="Times New Roman" w:cs="Times New Roman"/>
          <w:sz w:val="24"/>
          <w:szCs w:val="24"/>
        </w:rPr>
        <w:t xml:space="preserve">). Термин </w:t>
      </w:r>
      <w:r w:rsidRPr="00423DB7">
        <w:rPr>
          <w:rFonts w:ascii="Times New Roman" w:hAnsi="Times New Roman" w:cs="Times New Roman"/>
          <w:i/>
          <w:iCs/>
          <w:sz w:val="24"/>
          <w:szCs w:val="24"/>
        </w:rPr>
        <w:t>сисин со:о:</w:t>
      </w:r>
      <w:r w:rsidRPr="00423DB7">
        <w:rPr>
          <w:rFonts w:ascii="Times New Roman" w:hAnsi="Times New Roman" w:cs="Times New Roman"/>
          <w:sz w:val="24"/>
          <w:szCs w:val="24"/>
        </w:rPr>
        <w:t xml:space="preserve"> </w:t>
      </w:r>
      <w:r w:rsidRPr="00423DB7">
        <w:rPr>
          <w:rFonts w:ascii="Times New Roman" w:hAnsi="Times New Roman" w:cs="Times New Roman"/>
          <w:sz w:val="24"/>
          <w:szCs w:val="24"/>
        </w:rPr>
        <w:t>四神相應</w:t>
      </w:r>
      <w:r w:rsidRPr="00423DB7">
        <w:rPr>
          <w:rFonts w:ascii="Times New Roman" w:hAnsi="Times New Roman" w:cs="Times New Roman"/>
          <w:sz w:val="24"/>
          <w:szCs w:val="24"/>
        </w:rPr>
        <w:t xml:space="preserve"> (соответствие между четырьмя божествами направления и топографическими особенностями) отражает идеальные представления о пространстве для аристократа эпохи Хэйан. </w:t>
      </w:r>
      <w:r w:rsidRPr="00423DB7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423DB7">
        <w:rPr>
          <w:rFonts w:ascii="Times New Roman" w:hAnsi="Times New Roman" w:cs="Times New Roman"/>
          <w:color w:val="000000"/>
          <w:sz w:val="24"/>
          <w:szCs w:val="24"/>
        </w:rPr>
        <w:t xml:space="preserve">Бачурин, 2008; </w:t>
      </w:r>
      <w:r w:rsidRPr="00423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Иибути, 1990; </w:t>
      </w:r>
      <w:r w:rsidRPr="00423DB7">
        <w:rPr>
          <w:rFonts w:ascii="Times New Roman" w:hAnsi="Times New Roman" w:cs="Times New Roman"/>
          <w:color w:val="000000"/>
          <w:sz w:val="24"/>
          <w:szCs w:val="24"/>
        </w:rPr>
        <w:t>Сигэта, 2012</w:t>
      </w:r>
      <w:r w:rsidRPr="00423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]. </w:t>
      </w:r>
    </w:p>
    <w:p w14:paraId="2CD16A1E" w14:textId="77777777" w:rsidR="00333158" w:rsidRPr="00423DB7" w:rsidRDefault="00333158" w:rsidP="00423DB7">
      <w:pPr>
        <w:spacing w:line="240" w:lineRule="auto"/>
        <w:ind w:lef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DB7">
        <w:rPr>
          <w:rFonts w:ascii="Times New Roman" w:hAnsi="Times New Roman" w:cs="Times New Roman"/>
          <w:i/>
          <w:iCs/>
          <w:sz w:val="24"/>
          <w:szCs w:val="24"/>
        </w:rPr>
        <w:t>Мономими</w:t>
      </w:r>
      <w:r w:rsidRPr="00423DB7">
        <w:rPr>
          <w:rFonts w:ascii="Times New Roman" w:hAnsi="Times New Roman" w:cs="Times New Roman"/>
          <w:sz w:val="24"/>
          <w:szCs w:val="24"/>
        </w:rPr>
        <w:t xml:space="preserve"> - запрет на выход из дома и приём гостей - был тесно связан с представлениями о ритуальной нечистоте </w:t>
      </w:r>
      <w:r w:rsidRPr="00423DB7">
        <w:rPr>
          <w:rFonts w:ascii="Times New Roman" w:hAnsi="Times New Roman" w:cs="Times New Roman"/>
          <w:i/>
          <w:iCs/>
          <w:sz w:val="24"/>
          <w:szCs w:val="24"/>
        </w:rPr>
        <w:t>кэгарэ</w:t>
      </w:r>
      <w:r w:rsidRPr="00423DB7">
        <w:rPr>
          <w:rFonts w:ascii="Times New Roman" w:hAnsi="Times New Roman" w:cs="Times New Roman"/>
          <w:sz w:val="24"/>
          <w:szCs w:val="24"/>
        </w:rPr>
        <w:t xml:space="preserve">, которая могла быть вызвана контактом человека с болезнью, кровью, смертью, родами и тд. Кроме того, запрет мог быть вызван любого рода знамениями, которые рассматривались как необычные, выбивающиеся из обычного хода жизни. Все странные происшествия имели негативное влияние на человека. </w:t>
      </w:r>
      <w:r w:rsidRPr="00423DB7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423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Эрай, 2001; Эрай</w:t>
      </w:r>
      <w:r w:rsidRPr="00423DB7">
        <w:rPr>
          <w:rFonts w:ascii="Times New Roman" w:hAnsi="Times New Roman" w:cs="Times New Roman"/>
          <w:bCs/>
          <w:color w:val="000000"/>
          <w:sz w:val="24"/>
          <w:szCs w:val="24"/>
        </w:rPr>
        <w:t>, 2008</w:t>
      </w:r>
      <w:r w:rsidRPr="00423DB7">
        <w:rPr>
          <w:rFonts w:ascii="Times New Roman" w:eastAsia="Times New Roman" w:hAnsi="Times New Roman" w:cs="Times New Roman"/>
          <w:color w:val="000000"/>
          <w:sz w:val="24"/>
          <w:szCs w:val="24"/>
        </w:rPr>
        <w:t>].</w:t>
      </w:r>
    </w:p>
    <w:p w14:paraId="78E0C77A" w14:textId="4476F7A5" w:rsidR="00333158" w:rsidRPr="00423DB7" w:rsidRDefault="00333158" w:rsidP="00423DB7">
      <w:pPr>
        <w:spacing w:line="240" w:lineRule="auto"/>
        <w:ind w:lef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DB7">
        <w:rPr>
          <w:rFonts w:ascii="Times New Roman" w:hAnsi="Times New Roman" w:cs="Times New Roman"/>
          <w:sz w:val="24"/>
          <w:szCs w:val="24"/>
        </w:rPr>
        <w:t xml:space="preserve">Чтобы сохранить или восстановить подходящее состояние, нужно была подчиниться запретам. Однако под влиянием учения </w:t>
      </w:r>
      <w:r w:rsidRPr="00423DB7">
        <w:rPr>
          <w:rFonts w:ascii="Times New Roman" w:hAnsi="Times New Roman" w:cs="Times New Roman"/>
          <w:bCs/>
          <w:sz w:val="24"/>
          <w:szCs w:val="24"/>
        </w:rPr>
        <w:t>о взаимовлиянии т</w:t>
      </w:r>
      <w:r w:rsidR="003D1A16">
        <w:rPr>
          <w:rFonts w:ascii="Times New Roman" w:hAnsi="Times New Roman" w:cs="Times New Roman"/>
          <w:bCs/>
          <w:sz w:val="24"/>
          <w:szCs w:val="24"/>
        </w:rPr>
        <w:t>ё</w:t>
      </w:r>
      <w:r w:rsidRPr="00423DB7">
        <w:rPr>
          <w:rFonts w:ascii="Times New Roman" w:hAnsi="Times New Roman" w:cs="Times New Roman"/>
          <w:bCs/>
          <w:sz w:val="24"/>
          <w:szCs w:val="24"/>
        </w:rPr>
        <w:t>мных и светлых сил</w:t>
      </w:r>
      <w:r w:rsidRPr="00423DB7">
        <w:rPr>
          <w:rFonts w:ascii="Times New Roman" w:hAnsi="Times New Roman" w:cs="Times New Roman"/>
          <w:sz w:val="24"/>
          <w:szCs w:val="24"/>
        </w:rPr>
        <w:t xml:space="preserve"> Оммё:до: практика запретительных установлений значительно расширилась. Она позволяла избежать возможных опасностей, неудач, несчастий, болезней. </w:t>
      </w:r>
    </w:p>
    <w:p w14:paraId="62519791" w14:textId="77777777" w:rsidR="00333158" w:rsidRPr="00423DB7" w:rsidRDefault="00333158" w:rsidP="00423DB7">
      <w:pPr>
        <w:spacing w:line="240" w:lineRule="auto"/>
        <w:ind w:lef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DB7">
        <w:rPr>
          <w:rFonts w:ascii="Times New Roman" w:hAnsi="Times New Roman" w:cs="Times New Roman"/>
          <w:sz w:val="24"/>
          <w:szCs w:val="24"/>
        </w:rPr>
        <w:t xml:space="preserve">Настоящий доклад посвящён рассмотрению специфики запретов </w:t>
      </w:r>
      <w:r w:rsidRPr="00423DB7">
        <w:rPr>
          <w:rFonts w:ascii="Times New Roman" w:hAnsi="Times New Roman" w:cs="Times New Roman"/>
          <w:i/>
          <w:iCs/>
          <w:sz w:val="24"/>
          <w:szCs w:val="24"/>
        </w:rPr>
        <w:t>катаими</w:t>
      </w:r>
      <w:r w:rsidRPr="00423DB7">
        <w:rPr>
          <w:rFonts w:ascii="Times New Roman" w:hAnsi="Times New Roman" w:cs="Times New Roman"/>
          <w:sz w:val="24"/>
          <w:szCs w:val="24"/>
        </w:rPr>
        <w:t xml:space="preserve"> и </w:t>
      </w:r>
      <w:r w:rsidRPr="00423DB7">
        <w:rPr>
          <w:rFonts w:ascii="Times New Roman" w:hAnsi="Times New Roman" w:cs="Times New Roman"/>
          <w:i/>
          <w:iCs/>
          <w:sz w:val="24"/>
          <w:szCs w:val="24"/>
        </w:rPr>
        <w:t>моноими</w:t>
      </w:r>
      <w:r w:rsidRPr="00423DB7">
        <w:rPr>
          <w:rFonts w:ascii="Times New Roman" w:hAnsi="Times New Roman" w:cs="Times New Roman"/>
          <w:sz w:val="24"/>
          <w:szCs w:val="24"/>
        </w:rPr>
        <w:t xml:space="preserve"> в средневековой Японии и их влияния на повседневную жизнь аристократов.</w:t>
      </w:r>
    </w:p>
    <w:p w14:paraId="43836257" w14:textId="77777777" w:rsidR="007C0713" w:rsidRPr="00423DB7" w:rsidRDefault="007C0713" w:rsidP="00423DB7">
      <w:pPr>
        <w:spacing w:line="240" w:lineRule="auto"/>
        <w:ind w:left="-5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37FD21" w14:textId="3E2F9C13" w:rsidR="007C0713" w:rsidRPr="00423DB7" w:rsidRDefault="007C0713" w:rsidP="00423DB7">
      <w:pPr>
        <w:spacing w:line="240" w:lineRule="auto"/>
        <w:ind w:left="-5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DB7">
        <w:rPr>
          <w:rFonts w:ascii="Times New Roman" w:hAnsi="Times New Roman" w:cs="Times New Roman"/>
          <w:b/>
          <w:sz w:val="24"/>
          <w:szCs w:val="24"/>
        </w:rPr>
        <w:t>Источники и литература:</w:t>
      </w:r>
    </w:p>
    <w:p w14:paraId="352F0EFE" w14:textId="2D005F35" w:rsidR="00B54432" w:rsidRPr="00423DB7" w:rsidRDefault="00B54432" w:rsidP="00F513DB">
      <w:pPr>
        <w:pStyle w:val="a3"/>
        <w:numPr>
          <w:ilvl w:val="0"/>
          <w:numId w:val="1"/>
        </w:numPr>
        <w:spacing w:after="16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DB7">
        <w:rPr>
          <w:rFonts w:ascii="Times New Roman" w:hAnsi="Times New Roman" w:cs="Times New Roman"/>
          <w:i/>
          <w:iCs/>
          <w:sz w:val="24"/>
          <w:szCs w:val="24"/>
        </w:rPr>
        <w:t>Бачурин А.С.</w:t>
      </w:r>
      <w:r w:rsidRPr="00423DB7">
        <w:rPr>
          <w:rFonts w:ascii="Times New Roman" w:hAnsi="Times New Roman" w:cs="Times New Roman"/>
          <w:sz w:val="24"/>
          <w:szCs w:val="24"/>
        </w:rPr>
        <w:t xml:space="preserve"> Запреты на направления (катаими) в период Хэйан // Orientalia et Classica: Труды Института восточных культур и античности РГГУ. Вып. XV</w:t>
      </w:r>
      <w:r w:rsidRPr="00423DB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23DB7">
        <w:rPr>
          <w:rFonts w:ascii="Times New Roman" w:hAnsi="Times New Roman" w:cs="Times New Roman"/>
          <w:sz w:val="24"/>
          <w:szCs w:val="24"/>
        </w:rPr>
        <w:t xml:space="preserve">. История и культура традиционной Японии. М.: РГГУ, 2008. </w:t>
      </w:r>
      <w:r w:rsidR="00333158" w:rsidRPr="00423DB7">
        <w:rPr>
          <w:rFonts w:ascii="Times New Roman" w:hAnsi="Times New Roman" w:cs="Times New Roman"/>
          <w:sz w:val="24"/>
          <w:szCs w:val="24"/>
        </w:rPr>
        <w:t>С. 59–97.</w:t>
      </w:r>
    </w:p>
    <w:p w14:paraId="200176AE" w14:textId="025140C3" w:rsidR="00B54432" w:rsidRPr="00423DB7" w:rsidRDefault="00B54432" w:rsidP="00F513DB">
      <w:pPr>
        <w:pStyle w:val="a3"/>
        <w:numPr>
          <w:ilvl w:val="0"/>
          <w:numId w:val="1"/>
        </w:numPr>
        <w:spacing w:after="16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DB7">
        <w:rPr>
          <w:rFonts w:ascii="Times New Roman" w:hAnsi="Times New Roman" w:cs="Times New Roman"/>
          <w:i/>
          <w:iCs/>
          <w:sz w:val="24"/>
          <w:szCs w:val="24"/>
        </w:rPr>
        <w:t>Коити Иибути.</w:t>
      </w:r>
      <w:r w:rsidRPr="00423DB7">
        <w:rPr>
          <w:rFonts w:ascii="Times New Roman" w:hAnsi="Times New Roman" w:cs="Times New Roman"/>
          <w:sz w:val="24"/>
          <w:szCs w:val="24"/>
        </w:rPr>
        <w:t xml:space="preserve"> Тайхакуками ни ёру катаими. Хэйанкё: оёби синдэндзукури кара мита [Запрет на направление, связанный с божеством Тайхаку. С точки зрения Хэйанкё: и синдэндзукури] // Нихон кэнтикугаккай кэйкакукэй ромбун хо:коку сю: [Сборник докладов по планированию работы Архитектурного общества Японии], 1990. Т. 411. С. 12</w:t>
      </w:r>
      <w:r w:rsidR="00827724" w:rsidRPr="00423DB7">
        <w:rPr>
          <w:rFonts w:ascii="Times New Roman" w:hAnsi="Times New Roman" w:cs="Times New Roman"/>
          <w:sz w:val="24"/>
          <w:szCs w:val="24"/>
        </w:rPr>
        <w:t>3-129</w:t>
      </w:r>
      <w:r w:rsidRPr="00423DB7">
        <w:rPr>
          <w:rFonts w:ascii="Times New Roman" w:hAnsi="Times New Roman" w:cs="Times New Roman"/>
          <w:sz w:val="24"/>
          <w:szCs w:val="24"/>
        </w:rPr>
        <w:t>.</w:t>
      </w:r>
    </w:p>
    <w:p w14:paraId="27F76FB0" w14:textId="022E176A" w:rsidR="00B54432" w:rsidRPr="00423DB7" w:rsidRDefault="00B54432" w:rsidP="00F513DB">
      <w:pPr>
        <w:pStyle w:val="a3"/>
        <w:numPr>
          <w:ilvl w:val="0"/>
          <w:numId w:val="1"/>
        </w:numPr>
        <w:spacing w:after="16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DB7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>Francine Hérail.</w:t>
      </w:r>
      <w:r w:rsidRPr="00423DB7">
        <w:rPr>
          <w:rFonts w:ascii="Times New Roman" w:hAnsi="Times New Roman" w:cs="Times New Roman"/>
          <w:sz w:val="24"/>
          <w:szCs w:val="24"/>
          <w:lang w:val="en-US"/>
        </w:rPr>
        <w:t xml:space="preserve"> Notes journalières de Fujiwara no Sukefusa. Traduction du Shunki. T.I (1038-1040). Genève: Librairie Droz S.A., 2001. </w:t>
      </w:r>
    </w:p>
    <w:p w14:paraId="38A60557" w14:textId="3D44F52F" w:rsidR="00B54432" w:rsidRPr="00423DB7" w:rsidRDefault="00B54432" w:rsidP="00F513DB">
      <w:pPr>
        <w:pStyle w:val="a3"/>
        <w:numPr>
          <w:ilvl w:val="0"/>
          <w:numId w:val="1"/>
        </w:numPr>
        <w:spacing w:after="16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DB7">
        <w:rPr>
          <w:rFonts w:ascii="Times New Roman" w:hAnsi="Times New Roman" w:cs="Times New Roman"/>
          <w:i/>
          <w:iCs/>
          <w:sz w:val="24"/>
          <w:szCs w:val="24"/>
          <w:lang w:val="en-US"/>
        </w:rPr>
        <w:t>Francine Hérail.</w:t>
      </w:r>
      <w:r w:rsidRPr="00423DB7">
        <w:rPr>
          <w:rFonts w:ascii="Times New Roman" w:hAnsi="Times New Roman" w:cs="Times New Roman"/>
          <w:sz w:val="24"/>
          <w:szCs w:val="24"/>
          <w:lang w:val="en-US"/>
        </w:rPr>
        <w:t xml:space="preserve"> Recueil de décrets de trois ères méthodiquement classés, livres 8 à 20. Traduction commentée du Ruiju sandai kyaku. Genève: Librairie Droz S.A.,</w:t>
      </w:r>
      <w:r w:rsidRPr="00423D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423DB7">
        <w:rPr>
          <w:rFonts w:ascii="Times New Roman" w:hAnsi="Times New Roman" w:cs="Times New Roman"/>
          <w:sz w:val="24"/>
          <w:szCs w:val="24"/>
          <w:lang w:val="en-US"/>
        </w:rPr>
        <w:t xml:space="preserve">2008. </w:t>
      </w:r>
    </w:p>
    <w:p w14:paraId="5427B019" w14:textId="197ED4FA" w:rsidR="00B54432" w:rsidRPr="00423DB7" w:rsidRDefault="00B54432" w:rsidP="00F513DB">
      <w:pPr>
        <w:pStyle w:val="a3"/>
        <w:numPr>
          <w:ilvl w:val="0"/>
          <w:numId w:val="1"/>
        </w:numPr>
        <w:spacing w:after="16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DB7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  <w:shd w:val="clear" w:color="auto" w:fill="FFFFFF"/>
          <w:lang w:val="en-US"/>
        </w:rPr>
        <w:t>Shigeta Shinichi.</w:t>
      </w:r>
      <w:r w:rsidRPr="00423DB7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val="en-US"/>
        </w:rPr>
        <w:t xml:space="preserve"> Onmyodo and the Aristocratic Culture of Everyday Life in Heian Japan. // Cahiers d’Extrême-Asie. </w:t>
      </w:r>
      <w:r w:rsidRPr="00423DB7">
        <w:rPr>
          <w:rFonts w:ascii="Times New Roman" w:hAnsi="Times New Roman" w:cs="Times New Roman"/>
          <w:color w:val="343332"/>
          <w:spacing w:val="-5"/>
          <w:sz w:val="24"/>
          <w:szCs w:val="24"/>
          <w:lang w:val="en-US"/>
        </w:rPr>
        <w:t xml:space="preserve">École française d’Extrême-Orient, </w:t>
      </w:r>
      <w:r w:rsidRPr="00423DB7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val="en-US"/>
        </w:rPr>
        <w:t xml:space="preserve">2012. Vol. 21. </w:t>
      </w:r>
      <w:r w:rsidR="00333158" w:rsidRPr="00423DB7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val="en-US"/>
        </w:rPr>
        <w:t>P. 65–77.</w:t>
      </w:r>
    </w:p>
    <w:sectPr w:rsidR="00B54432" w:rsidRPr="00423DB7" w:rsidSect="004D58AD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06A4F" w14:textId="77777777" w:rsidR="004D58AD" w:rsidRDefault="004D58AD" w:rsidP="002C0DCA">
      <w:pPr>
        <w:spacing w:after="0" w:line="240" w:lineRule="auto"/>
      </w:pPr>
      <w:r>
        <w:separator/>
      </w:r>
    </w:p>
  </w:endnote>
  <w:endnote w:type="continuationSeparator" w:id="0">
    <w:p w14:paraId="2205A8C6" w14:textId="77777777" w:rsidR="004D58AD" w:rsidRDefault="004D58AD" w:rsidP="002C0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2E34E" w14:textId="77777777" w:rsidR="004D58AD" w:rsidRDefault="004D58AD" w:rsidP="002C0DCA">
      <w:pPr>
        <w:spacing w:after="0" w:line="240" w:lineRule="auto"/>
      </w:pPr>
      <w:r>
        <w:separator/>
      </w:r>
    </w:p>
  </w:footnote>
  <w:footnote w:type="continuationSeparator" w:id="0">
    <w:p w14:paraId="5A438249" w14:textId="77777777" w:rsidR="004D58AD" w:rsidRDefault="004D58AD" w:rsidP="002C0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652BB"/>
    <w:multiLevelType w:val="hybridMultilevel"/>
    <w:tmpl w:val="17F8E952"/>
    <w:lvl w:ilvl="0" w:tplc="8216F4DC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 w16cid:durableId="845873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534"/>
    <w:rsid w:val="000A5902"/>
    <w:rsid w:val="000C2C4B"/>
    <w:rsid w:val="000D6534"/>
    <w:rsid w:val="00166060"/>
    <w:rsid w:val="00250CB4"/>
    <w:rsid w:val="002C0DCA"/>
    <w:rsid w:val="00333158"/>
    <w:rsid w:val="003675D3"/>
    <w:rsid w:val="003D1A16"/>
    <w:rsid w:val="00423DB7"/>
    <w:rsid w:val="004443C5"/>
    <w:rsid w:val="00447A0A"/>
    <w:rsid w:val="004D58AD"/>
    <w:rsid w:val="00515BA6"/>
    <w:rsid w:val="005A67C2"/>
    <w:rsid w:val="00623C65"/>
    <w:rsid w:val="006432FD"/>
    <w:rsid w:val="007C0713"/>
    <w:rsid w:val="00827724"/>
    <w:rsid w:val="00917533"/>
    <w:rsid w:val="00993E05"/>
    <w:rsid w:val="0099408C"/>
    <w:rsid w:val="009B78B7"/>
    <w:rsid w:val="00A84EDC"/>
    <w:rsid w:val="00A86E96"/>
    <w:rsid w:val="00B54432"/>
    <w:rsid w:val="00C36F28"/>
    <w:rsid w:val="00C80514"/>
    <w:rsid w:val="00D21185"/>
    <w:rsid w:val="00DE57F4"/>
    <w:rsid w:val="00E04484"/>
    <w:rsid w:val="00E42CA4"/>
    <w:rsid w:val="00E926EE"/>
    <w:rsid w:val="00EA647F"/>
    <w:rsid w:val="00EC586E"/>
    <w:rsid w:val="00F513DB"/>
    <w:rsid w:val="00FD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AFDC0"/>
  <w15:chartTrackingRefBased/>
  <w15:docId w15:val="{8F0CE34F-72ED-4135-AD38-94D69658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0D6534"/>
  </w:style>
  <w:style w:type="paragraph" w:customStyle="1" w:styleId="p25ft4">
    <w:name w:val="p25 ft4"/>
    <w:basedOn w:val="a"/>
    <w:rsid w:val="000D6534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C0713"/>
    <w:pPr>
      <w:ind w:left="720"/>
      <w:contextualSpacing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7C0713"/>
    <w:rPr>
      <w:b/>
      <w:bCs/>
    </w:rPr>
  </w:style>
  <w:style w:type="character" w:styleId="a5">
    <w:name w:val="Hyperlink"/>
    <w:basedOn w:val="a0"/>
    <w:uiPriority w:val="99"/>
    <w:semiHidden/>
    <w:unhideWhenUsed/>
    <w:rsid w:val="007C0713"/>
    <w:rPr>
      <w:color w:val="0000FF"/>
      <w:u w:val="single"/>
    </w:rPr>
  </w:style>
  <w:style w:type="character" w:styleId="a6">
    <w:name w:val="Emphasis"/>
    <w:basedOn w:val="a0"/>
    <w:uiPriority w:val="20"/>
    <w:qFormat/>
    <w:rsid w:val="00250CB4"/>
    <w:rPr>
      <w:i/>
      <w:iCs/>
    </w:rPr>
  </w:style>
  <w:style w:type="paragraph" w:styleId="a7">
    <w:name w:val="Normal (Web)"/>
    <w:basedOn w:val="a"/>
    <w:uiPriority w:val="99"/>
    <w:unhideWhenUsed/>
    <w:rsid w:val="002C0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unhideWhenUsed/>
    <w:rsid w:val="002C0DCA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a9">
    <w:name w:val="Текст сноски Знак"/>
    <w:basedOn w:val="a0"/>
    <w:link w:val="a8"/>
    <w:uiPriority w:val="99"/>
    <w:rsid w:val="002C0DCA"/>
    <w:rPr>
      <w:kern w:val="2"/>
      <w:sz w:val="20"/>
      <w:szCs w:val="20"/>
      <w14:ligatures w14:val="standardContextual"/>
    </w:rPr>
  </w:style>
  <w:style w:type="character" w:styleId="aa">
    <w:name w:val="footnote reference"/>
    <w:basedOn w:val="a0"/>
    <w:uiPriority w:val="99"/>
    <w:semiHidden/>
    <w:unhideWhenUsed/>
    <w:rsid w:val="002C0D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4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88CA1-80DC-4BD6-A016-35BDF03C7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 Chernetskaya</dc:creator>
  <cp:keywords/>
  <dc:description/>
  <cp:lastModifiedBy>Polly Chernetskaya</cp:lastModifiedBy>
  <cp:revision>16</cp:revision>
  <dcterms:created xsi:type="dcterms:W3CDTF">2024-02-26T19:05:00Z</dcterms:created>
  <dcterms:modified xsi:type="dcterms:W3CDTF">2024-02-27T18:04:00Z</dcterms:modified>
</cp:coreProperties>
</file>