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Новая эра искусственного интеллекта: системы персонализации и устойчивое образование</w:t>
      </w:r>
    </w:p>
    <w:p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Чжао Вэньвэнь</w:t>
      </w:r>
    </w:p>
    <w:p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Аспирант Факультета педагогического оброзавания, </w:t>
      </w:r>
    </w:p>
    <w:p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Московского государственного университета имени М.В.Ломоносова,</w:t>
      </w:r>
    </w:p>
    <w:p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Москва, Россия</w:t>
      </w:r>
    </w:p>
    <w:p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i/>
          <w:iCs/>
          <w:sz w:val="24"/>
          <w:szCs w:val="24"/>
        </w:rPr>
        <w:t>mail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wenwen48694062@gmail.com</w:t>
      </w:r>
    </w:p>
    <w:p>
      <w:pPr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ind w:firstLine="480" w:firstLineChars="200"/>
        <w:rPr>
          <w:rFonts w:ascii="Times New Roman" w:hAnsi="Times New Roman" w:cs="Times New Roman" w:eastAsiaTheme="minorEastAsia"/>
          <w:kern w:val="2"/>
          <w:sz w:val="24"/>
          <w:szCs w:val="24"/>
          <w:lang w:val="ru-RU" w:eastAsia="zh-CN" w:bidi="ar-SA"/>
        </w:rPr>
      </w:pPr>
      <w:r>
        <w:rPr>
          <w:rFonts w:ascii="Times New Roman" w:hAnsi="Times New Roman" w:cs="Times New Roman" w:eastAsiaTheme="minorEastAsia"/>
          <w:kern w:val="2"/>
          <w:sz w:val="24"/>
          <w:szCs w:val="24"/>
          <w:lang w:val="ru-RU" w:eastAsia="zh-CN" w:bidi="ar-SA"/>
        </w:rPr>
        <w:t>В соответствии с Целью устойчивого развития (ЦУР) 4 ЮНЕСКО, к 2030 году можно ожидать «равный доступ для всех мужчин и женщин к качественной технической, профессиональной и высшей подготовке, включая университетское образование» [2]. Образование является основой повышения качества жизни и достижения глобальной устойчивости [4]. Интеграция высококачественного образования с цифровыми технологиями помогает студентам продолжать предоставлять информацию, знания, мотивацию и навыки для понимания ЦУР, мотивировать молодежь, обеспечивать академическую и профессиональную подготовку для применения решений ЦУР, а также предоставляет студентам и специалистам возможности для наращивания потенциала. для решения трудностей, связанных с ЦУР. [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1</w:t>
      </w:r>
      <w:r>
        <w:rPr>
          <w:rFonts w:ascii="Times New Roman" w:hAnsi="Times New Roman" w:cs="Times New Roman" w:eastAsiaTheme="minorEastAsia"/>
          <w:kern w:val="2"/>
          <w:sz w:val="24"/>
          <w:szCs w:val="24"/>
          <w:lang w:val="ru-RU" w:eastAsia="zh-CN" w:bidi="ar-SA"/>
        </w:rPr>
        <w:t>]. Качественное образование представляет собой важную часть будущего качества человеческой жизни и долгосрочной устойчивости мира. Новые цифровые технологии трансформируют образование как в формальном, так и в неформальном контексте обучения.</w:t>
      </w:r>
    </w:p>
    <w:p>
      <w:pPr>
        <w:ind w:firstLine="480" w:firstLineChars="200"/>
        <w:rPr>
          <w:rFonts w:hint="default" w:ascii="Times New Roman" w:hAnsi="Times New Roman" w:cs="Times New Roman" w:eastAsiaTheme="minorEastAsia"/>
          <w:kern w:val="2"/>
          <w:sz w:val="24"/>
          <w:szCs w:val="24"/>
          <w:lang w:val="ru-RU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ru-RU" w:eastAsia="zh-CN" w:bidi="ar-SA"/>
        </w:rPr>
        <w:t xml:space="preserve">Технология искусственного интеллекта имеет потенциал для ускорения интеллектуальных систем обучения (ИТС), которые направлены на предоставление студентам индивидуального индивидуального обучения, имитирующего опыт обучения у репетитора-человека. Чтобы понять потребности учащихся в обучении и адаптировать их методы обучения, 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ru-RU" w:eastAsia="zh-CN" w:bidi="ar-SA"/>
        </w:rPr>
        <w:t>ИТС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ru-RU" w:eastAsia="zh-CN" w:bidi="ar-SA"/>
        </w:rPr>
        <w:t xml:space="preserve"> использует мощные алгоритмы и подходы машинного обучения. Обработка естественного языка (NLP) позволяет ИИ воспринимать и интерпретировать письменные или устные сообщения учащихся, позволяя ITS участвовать в содержательных диалогах, отвечать на вопросы и предоставлять инструкции по различным предметам. 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ru-RU" w:eastAsia="zh-CN" w:bidi="ar-SA"/>
        </w:rPr>
        <w:t>ИТС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ru-RU" w:eastAsia="zh-CN" w:bidi="ar-SA"/>
        </w:rPr>
        <w:t xml:space="preserve"> использует ИИ для предоставления учащимся индивидуальных инструкций и обратной связи, тем самым устраняя разрыв между традиционным обучением в классе и индивидуальным обучением [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7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ru-RU" w:eastAsia="zh-CN" w:bidi="ar-SA"/>
        </w:rPr>
        <w:t xml:space="preserve">]. Студенческое моделирование является еще одним важным компонентом 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ru-RU" w:eastAsia="zh-CN" w:bidi="ar-SA"/>
        </w:rPr>
        <w:t>ИТС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ru-RU" w:eastAsia="zh-CN" w:bidi="ar-SA"/>
        </w:rPr>
        <w:t>. Это процесс, в котором ИИ генерирует динамические модели знаний, навыков и предпочтений учащихся на основе их взаимодействия с системой. Эти системы анализируют учебное поведение учащихся, отслеживают их прогресс и предлагают персонализированные рекомендации, способствуя улучшению результатов обучения и повышению мотивации учащихся [6]. ИИ может разработать ИТС, которые адаптируют образование для отдельных учащихся и успешно удовлетворяют их конкретные потребности, сочетая НЛП, моделирование учащихся и доставку адаптивного контента.</w:t>
      </w:r>
    </w:p>
    <w:p>
      <w:pPr>
        <w:ind w:firstLine="480" w:firstLineChars="200"/>
        <w:rPr>
          <w:rFonts w:hint="default" w:ascii="Times New Roman" w:hAnsi="Times New Roman" w:cs="Times New Roman" w:eastAsiaTheme="minorEastAsia"/>
          <w:kern w:val="2"/>
          <w:sz w:val="24"/>
          <w:szCs w:val="24"/>
          <w:lang w:val="ru-RU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ru-RU" w:eastAsia="zh-CN" w:bidi="ar-SA"/>
        </w:rPr>
        <w:t>Автоматизированные инструменты оценки ИИ могут обнаруживать закономерности в успеваемости учащихся, определяя конкретные области, где им может потребоваться дополнительная помощь или ресурсы. Оно помогает преподавателям принимать решения на основе данных и разрабатывать персонализированные меры, соответствующие индивидуальным потребностям обучения, предлагая обратную связь в режиме реального времени и глубокое понимание сильных и слабых сторон учащихся. Такой уровень персонализации и адаптации оценки может помочь учащимся достичь лучших результатов обучения и получить более увлекательный образовательный опыт.</w:t>
      </w:r>
    </w:p>
    <w:p>
      <w:pPr>
        <w:ind w:firstLine="480" w:firstLineChars="200"/>
        <w:rPr>
          <w:rFonts w:hint="default" w:ascii="Times New Roman" w:hAnsi="Times New Roman" w:cs="Times New Roman" w:eastAsiaTheme="minorEastAsia"/>
          <w:kern w:val="2"/>
          <w:sz w:val="24"/>
          <w:szCs w:val="24"/>
          <w:lang w:val="ru-RU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ru-RU" w:eastAsia="zh-CN" w:bidi="ar-SA"/>
        </w:rPr>
        <w:t>Интеллектуальные системы становятся возможными благодаря растущему объему данных, связанных с обучением, и высокопроизводительным вычислениям в процессе поддержки устойчивого образования с очень широким спектром преимуществ, предоставляя учащимся персонализированные рекомендации. Поскольку исследования и разработки в области искусственного интеллекта становятся все более зрелыми, а соответствующие результаты широко применяются в реальных условиях, важность использования автоматизированных систем в долгосрочном образовании становится все более очевидной.</w:t>
      </w:r>
    </w:p>
    <w:p>
      <w:pPr>
        <w:ind w:firstLine="480" w:firstLineChars="200"/>
        <w:rPr>
          <w:rFonts w:hint="default" w:ascii="Times New Roman" w:hAnsi="Times New Roman" w:cs="Times New Roman" w:eastAsiaTheme="minorEastAsia"/>
          <w:kern w:val="2"/>
          <w:sz w:val="24"/>
          <w:szCs w:val="24"/>
          <w:lang w:val="ru-RU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ru-RU" w:eastAsia="zh-CN" w:bidi="ar-SA"/>
        </w:rPr>
        <w:t>ИИ и большие данные используются в новых образовательных пространствах, придавая ценность сложным проблемам высшего образования, а также в других технологических ресурсах обучения, которые меняют то, как мы живем, работаем и общаемся с другими [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3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ru-RU" w:eastAsia="zh-CN" w:bidi="ar-SA"/>
        </w:rPr>
        <w:t>].</w:t>
      </w:r>
    </w:p>
    <w:p>
      <w:pPr>
        <w:ind w:firstLine="480" w:firstLineChars="200"/>
        <w:rPr>
          <w:rFonts w:hint="default" w:ascii="Times New Roman" w:hAnsi="Times New Roman" w:cs="Times New Roman" w:eastAsiaTheme="minorEastAsia"/>
          <w:kern w:val="2"/>
          <w:sz w:val="24"/>
          <w:szCs w:val="24"/>
          <w:lang w:val="ru-RU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ru-RU" w:eastAsia="zh-CN" w:bidi="ar-SA"/>
        </w:rPr>
        <w:t>Студенты могут использовать большие данные для поиска закономерностей в дополнение к новым подходам к обучению, которые обеспечивают персонализированное образование на основе собранных данных об учащихся в отношении личных характеристик, привычек или действий. Элементы персонализации уделяют большое внимание личностному росту и среде обучения. Личностный рост знаний и навыков учащихся, полученных через интернет-сообщества и онлайн-курсы, является акцентом личностного развития.</w:t>
      </w:r>
    </w:p>
    <w:p>
      <w:pPr>
        <w:ind w:firstLine="480" w:firstLineChars="200"/>
        <w:rPr>
          <w:rFonts w:hint="default" w:ascii="Times New Roman" w:hAnsi="Times New Roman" w:cs="Times New Roman" w:eastAsiaTheme="minorEastAsia"/>
          <w:kern w:val="2"/>
          <w:sz w:val="24"/>
          <w:szCs w:val="24"/>
          <w:lang w:val="ru-RU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ru-RU" w:eastAsia="zh-CN" w:bidi="ar-SA"/>
        </w:rPr>
        <w:t>Цифровые технологии и искусственный интеллект в образовании позволяют создавать методы обучения на основе индивидуализированного обучения, персонализированной информации и достигнутых способностей для достижения творческих способностей и предпринимательства [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5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ru-RU" w:eastAsia="zh-CN" w:bidi="ar-SA"/>
        </w:rPr>
        <w:t>].</w:t>
      </w:r>
    </w:p>
    <w:p>
      <w:pPr>
        <w:ind w:firstLine="480" w:firstLineChars="200"/>
        <w:rPr>
          <w:rFonts w:hint="default" w:ascii="Times New Roman" w:hAnsi="Times New Roman" w:cs="Times New Roman" w:eastAsiaTheme="minorEastAsia"/>
          <w:kern w:val="2"/>
          <w:sz w:val="24"/>
          <w:szCs w:val="24"/>
          <w:lang w:val="ru-RU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ru-RU" w:eastAsia="zh-CN" w:bidi="ar-SA"/>
        </w:rPr>
        <w:t>Информационный век подразумевает адаптируемую образовательную среду, которая обеспечивает инновационные способности, позволяя людям достигать лучших результатов и развиваться во времена постоянных перемен. В результате цифровое образование использует цифровые технологии для приобретения навыков и способностей обучения в процессе непрерывного обучения, предоставляя учебным заведениям возможность расширять свои образовательные цели и результаты [8].</w:t>
      </w:r>
    </w:p>
    <w:p>
      <w:pPr>
        <w:ind w:firstLine="480" w:firstLineChars="200"/>
        <w:rPr>
          <w:rFonts w:ascii="Times New Roman" w:hAnsi="Times New Roman" w:cs="Times New Roman" w:eastAsiaTheme="minorEastAsia"/>
          <w:kern w:val="2"/>
          <w:sz w:val="24"/>
          <w:szCs w:val="24"/>
          <w:lang w:val="ru-RU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ru-RU" w:eastAsia="zh-CN" w:bidi="ar-SA"/>
        </w:rPr>
        <w:t>В будущем ИИ способен помочь адаптировать образование различными способами. Персонализированное обучение на основе искусственного интеллекта предполагает адаптацию образовательного контента и опыта с учетом уникальных потребностей, стилей обучения и предпочтений каждого учащегося. Такой подход позволяет учащимся учиться в своем собственном темпе, тем самым повышая их вовлеченность и общие результаты обучения</w:t>
      </w:r>
      <w:bookmarkStart w:id="0" w:name="_GoBack"/>
      <w:bookmarkEnd w:id="0"/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ru-RU" w:eastAsia="zh-CN" w:bidi="ar-SA"/>
        </w:rPr>
        <w:t>. ИИ предоставит учителям новое измерение преподавания и обучения, где они смогут создавать иммерсивные классы, в которых им помогут интеллектуальные технологии, позволяющие персонализировать уроки для учащихся и не человек-напарник по обучению, то есть искусственный интеллект. Точно так же, как другие отрасли претерпели смену парадигмы за счет использования ИИ в своей работе, мы считаем, что сфера образования также будет дальше интегрироваться с ИИ положительным образом, что поможет как учителям, так и учащимся.</w:t>
      </w:r>
    </w:p>
    <w:p>
      <w:pPr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Литература</w:t>
      </w:r>
    </w:p>
    <w:p>
      <w:pPr>
        <w:pStyle w:val="2"/>
        <w:numPr>
          <w:ilvl w:val="0"/>
          <w:numId w:val="1"/>
        </w:numP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ru-RU" w:eastAsia="zh-CN" w:bidi="ar-SA"/>
        </w:rPr>
      </w:pPr>
      <w:r>
        <w:rPr>
          <w:rFonts w:ascii="Times New Roman" w:hAnsi="Times New Roman" w:cs="Times New Roman" w:eastAsiaTheme="minorEastAsia"/>
          <w:kern w:val="2"/>
          <w:sz w:val="24"/>
          <w:szCs w:val="24"/>
          <w:lang w:val="ru-RU" w:eastAsia="zh-CN" w:bidi="ar-SA"/>
        </w:rPr>
        <w:t xml:space="preserve">Эль-Джардали Ф., Атайя Н. и Фадлалла Р. Изменение роли университетов в эпоху достижения ЦУР: решение глобальной проблемы посредством институционализации 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ru-RU" w:eastAsia="zh-CN" w:bidi="ar-SA"/>
        </w:rPr>
        <w:t>партнерских отношений с правительствами и сообществами. Система политики в области здравоохранения 16. 2018, 38.</w:t>
      </w:r>
    </w:p>
    <w:p>
      <w:pPr>
        <w:pStyle w:val="2"/>
        <w:numPr>
          <w:ilvl w:val="0"/>
          <w:numId w:val="1"/>
        </w:numP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ru-RU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ru-RU" w:eastAsia="zh-CN" w:bidi="ar-SA"/>
        </w:rPr>
        <w:t>Boeren, E. Understanding Sustainable Development Goal (SDG) 4 on “quality education” from micro, meso and macro perspectives. Int. Rev. Educ. 2019, 65, 277–294.</w:t>
      </w:r>
    </w:p>
    <w:p>
      <w:pPr>
        <w:pStyle w:val="2"/>
        <w:numPr>
          <w:ilvl w:val="0"/>
          <w:numId w:val="1"/>
        </w:numP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ru-RU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ru-RU" w:eastAsia="zh-CN" w:bidi="ar-SA"/>
        </w:rPr>
        <w:t>Dennis, M.J. Artificial intelligence, and higher education. Enroll. Manag. Rep. 2018, 22, 1–3.</w:t>
      </w:r>
    </w:p>
    <w:p>
      <w:pPr>
        <w:pStyle w:val="2"/>
        <w:numPr>
          <w:ilvl w:val="0"/>
          <w:numId w:val="1"/>
        </w:numP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ru-RU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ru-RU" w:eastAsia="zh-CN" w:bidi="ar-SA"/>
        </w:rPr>
        <w:t>Dybach, I. Institutional aspects of educational quality management in higher educational establishments. Econ. Dev. 2019, 18, 33–43.</w:t>
      </w:r>
    </w:p>
    <w:p>
      <w:pPr>
        <w:pStyle w:val="2"/>
        <w:numPr>
          <w:ilvl w:val="0"/>
          <w:numId w:val="1"/>
        </w:numPr>
        <w:rPr>
          <w:rFonts w:ascii="Times New Roman" w:hAnsi="Times New Roman" w:cs="Times New Roman" w:eastAsiaTheme="minorEastAsia"/>
          <w:kern w:val="2"/>
          <w:sz w:val="24"/>
          <w:szCs w:val="24"/>
          <w:lang w:val="ru-RU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ru-RU" w:eastAsia="zh-CN" w:bidi="ar-SA"/>
        </w:rPr>
        <w:t>Jahnk</w:t>
      </w:r>
      <w:r>
        <w:rPr>
          <w:rFonts w:ascii="Times New Roman" w:hAnsi="Times New Roman" w:cs="Times New Roman" w:eastAsiaTheme="minorEastAsia"/>
          <w:kern w:val="2"/>
          <w:sz w:val="24"/>
          <w:szCs w:val="24"/>
          <w:lang w:val="ru-RU" w:eastAsia="zh-CN" w:bidi="ar-SA"/>
        </w:rPr>
        <w:t>e, I.; Kumar, S. Digital Didactical Designs: Teachers’ Integration of iPads for Learning-Centered Processes. J. Digit. Learn. Teach. Educ. 2014, 30, 81–88.</w:t>
      </w:r>
    </w:p>
    <w:p>
      <w:pPr>
        <w:pStyle w:val="2"/>
        <w:numPr>
          <w:ilvl w:val="0"/>
          <w:numId w:val="1"/>
        </w:numPr>
        <w:rPr>
          <w:rFonts w:ascii="Times New Roman" w:hAnsi="Times New Roman" w:cs="Times New Roman" w:eastAsiaTheme="minorEastAsia"/>
          <w:kern w:val="2"/>
          <w:sz w:val="24"/>
          <w:szCs w:val="24"/>
          <w:lang w:val="ru-RU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ru-RU" w:eastAsia="zh-CN" w:bidi="ar-SA"/>
        </w:rPr>
        <w:t>Kochmar, E.; Vu, D.D.; Belfer, R.; Gupta, V.; Serban, I.V.; Pineau, J. Automated data-driven generation of personalized pedagogical interventions in intelligent tutoring systems. Int. J. Artif. Intell. Educ. 2022, 32, 323–349.</w:t>
      </w:r>
    </w:p>
    <w:p>
      <w:pPr>
        <w:pStyle w:val="2"/>
        <w:numPr>
          <w:ilvl w:val="0"/>
          <w:numId w:val="1"/>
        </w:numPr>
        <w:rPr>
          <w:rFonts w:ascii="Times New Roman" w:hAnsi="Times New Roman" w:cs="Times New Roman" w:eastAsiaTheme="minorEastAsia"/>
          <w:kern w:val="2"/>
          <w:sz w:val="24"/>
          <w:szCs w:val="24"/>
          <w:lang w:val="ru-RU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ru-RU" w:eastAsia="zh-CN" w:bidi="ar-SA"/>
        </w:rPr>
        <w:t>Mousavinasab, E.; Zarifsanaiey, N.; Niakan, R.; Kalhori, S.; Rakhshan, M.; Keikha, L.; Ghazi, S.M. Intelligent tutoring systems: A systematic review of characteristics, applications, and evaluation methods. Interact. Learn. Environ. 2021, 29, 142–163.</w:t>
      </w:r>
    </w:p>
    <w:p>
      <w:pPr>
        <w:pStyle w:val="2"/>
        <w:numPr>
          <w:ilvl w:val="0"/>
          <w:numId w:val="1"/>
        </w:numPr>
        <w:rPr>
          <w:rFonts w:ascii="Times New Roman" w:hAnsi="Times New Roman" w:cs="Times New Roman" w:eastAsiaTheme="minorEastAsia"/>
          <w:kern w:val="2"/>
          <w:sz w:val="24"/>
          <w:szCs w:val="24"/>
          <w:lang w:val="ru-RU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ru-RU" w:eastAsia="zh-CN" w:bidi="ar-SA"/>
        </w:rPr>
        <w:t>Pedro, F.; Subosa, M.; Rivas, A.; Valverde, P. Artificial Intelligence in Education: Challenges and Opportunities for Sustainable Development; UNESCO: Paris, France, 2019.</w:t>
      </w:r>
    </w:p>
    <w:p>
      <w:pPr>
        <w:pStyle w:val="13"/>
        <w:ind w:left="0" w:leftChars="0" w:firstLine="0" w:firstLineChars="0"/>
        <w:rPr>
          <w:rFonts w:ascii="Times New Roman" w:hAnsi="Times New Roman" w:cs="Times New Roman"/>
          <w:sz w:val="24"/>
          <w:szCs w:val="24"/>
          <w:lang w:val="en-GB"/>
        </w:rPr>
      </w:pPr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65688F"/>
    <w:multiLevelType w:val="multilevel"/>
    <w:tmpl w:val="6765688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hmNGU2ZjRkNjg2YzQzMmNkNTJiNTk3NGNkZWFhYWMifQ=="/>
  </w:docVars>
  <w:rsids>
    <w:rsidRoot w:val="00612817"/>
    <w:rsid w:val="000210A0"/>
    <w:rsid w:val="00022D8B"/>
    <w:rsid w:val="001149C2"/>
    <w:rsid w:val="00152728"/>
    <w:rsid w:val="001624C7"/>
    <w:rsid w:val="0016616A"/>
    <w:rsid w:val="00182248"/>
    <w:rsid w:val="00185D80"/>
    <w:rsid w:val="00323566"/>
    <w:rsid w:val="00345271"/>
    <w:rsid w:val="003926CC"/>
    <w:rsid w:val="004B2294"/>
    <w:rsid w:val="005056FE"/>
    <w:rsid w:val="005303E0"/>
    <w:rsid w:val="0056266B"/>
    <w:rsid w:val="005D7246"/>
    <w:rsid w:val="00612817"/>
    <w:rsid w:val="00616F0E"/>
    <w:rsid w:val="006450ED"/>
    <w:rsid w:val="006758A9"/>
    <w:rsid w:val="006A2708"/>
    <w:rsid w:val="006B5705"/>
    <w:rsid w:val="006F5FB6"/>
    <w:rsid w:val="00723E30"/>
    <w:rsid w:val="00754402"/>
    <w:rsid w:val="00775E2F"/>
    <w:rsid w:val="007D7966"/>
    <w:rsid w:val="008669BC"/>
    <w:rsid w:val="00866CA5"/>
    <w:rsid w:val="00876EB3"/>
    <w:rsid w:val="00906406"/>
    <w:rsid w:val="00990A50"/>
    <w:rsid w:val="009B6F45"/>
    <w:rsid w:val="00A94C20"/>
    <w:rsid w:val="00AD103B"/>
    <w:rsid w:val="00AE79D5"/>
    <w:rsid w:val="00B46C94"/>
    <w:rsid w:val="00BA3EDA"/>
    <w:rsid w:val="00BA48FC"/>
    <w:rsid w:val="00BB102B"/>
    <w:rsid w:val="00C72CBC"/>
    <w:rsid w:val="00C835D7"/>
    <w:rsid w:val="00CA1E38"/>
    <w:rsid w:val="00D07B43"/>
    <w:rsid w:val="00D123D2"/>
    <w:rsid w:val="00D17AD8"/>
    <w:rsid w:val="00E43324"/>
    <w:rsid w:val="00EE608D"/>
    <w:rsid w:val="00F10302"/>
    <w:rsid w:val="00F85BDC"/>
    <w:rsid w:val="00FE3C8D"/>
    <w:rsid w:val="0AFA7E37"/>
    <w:rsid w:val="0BA63A89"/>
    <w:rsid w:val="183323C1"/>
    <w:rsid w:val="20973A2F"/>
    <w:rsid w:val="21F43F4F"/>
    <w:rsid w:val="2788790A"/>
    <w:rsid w:val="4A672DFB"/>
    <w:rsid w:val="51E33AD4"/>
    <w:rsid w:val="6E0E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uiPriority w:val="99"/>
    <w:rPr>
      <w:sz w:val="20"/>
      <w:szCs w:val="20"/>
    </w:rPr>
  </w:style>
  <w:style w:type="paragraph" w:styleId="3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5"/>
    <w:unhideWhenUsed/>
    <w:uiPriority w:val="99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2"/>
    <w:next w:val="2"/>
    <w:link w:val="17"/>
    <w:semiHidden/>
    <w:unhideWhenUsed/>
    <w:uiPriority w:val="99"/>
    <w:rPr>
      <w:b/>
      <w:bCs/>
    </w:rPr>
  </w:style>
  <w:style w:type="character" w:styleId="10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uiPriority w:val="99"/>
    <w:rPr>
      <w:sz w:val="16"/>
      <w:szCs w:val="16"/>
    </w:rPr>
  </w:style>
  <w:style w:type="character" w:styleId="12">
    <w:name w:val="footnote reference"/>
    <w:basedOn w:val="9"/>
    <w:semiHidden/>
    <w:unhideWhenUsed/>
    <w:uiPriority w:val="99"/>
    <w:rPr>
      <w:vertAlign w:val="superscript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Unresolved Mention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15">
    <w:name w:val="脚注文本 字符"/>
    <w:basedOn w:val="9"/>
    <w:link w:val="5"/>
    <w:uiPriority w:val="99"/>
    <w:rPr>
      <w:sz w:val="18"/>
      <w:szCs w:val="18"/>
    </w:rPr>
  </w:style>
  <w:style w:type="character" w:customStyle="1" w:styleId="16">
    <w:name w:val="批注文字 字符"/>
    <w:basedOn w:val="9"/>
    <w:link w:val="2"/>
    <w:uiPriority w:val="99"/>
    <w:rPr>
      <w:sz w:val="20"/>
      <w:szCs w:val="20"/>
    </w:rPr>
  </w:style>
  <w:style w:type="character" w:customStyle="1" w:styleId="17">
    <w:name w:val="批注主题 字符"/>
    <w:basedOn w:val="16"/>
    <w:link w:val="7"/>
    <w:semiHidden/>
    <w:uiPriority w:val="99"/>
    <w:rPr>
      <w:b/>
      <w:bCs/>
      <w:sz w:val="20"/>
      <w:szCs w:val="20"/>
    </w:rPr>
  </w:style>
  <w:style w:type="character" w:customStyle="1" w:styleId="18">
    <w:name w:val="页眉 字符"/>
    <w:basedOn w:val="9"/>
    <w:link w:val="4"/>
    <w:uiPriority w:val="99"/>
    <w:rPr>
      <w:sz w:val="18"/>
      <w:szCs w:val="18"/>
    </w:rPr>
  </w:style>
  <w:style w:type="character" w:customStyle="1" w:styleId="19">
    <w:name w:val="页脚 字符"/>
    <w:basedOn w:val="9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73761-61C4-4115-AA5B-4F83F58DA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1314</Words>
  <Characters>7492</Characters>
  <Lines>62</Lines>
  <Paragraphs>17</Paragraphs>
  <TotalTime>24</TotalTime>
  <ScaleCrop>false</ScaleCrop>
  <LinksUpToDate>false</LinksUpToDate>
  <CharactersWithSpaces>8789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2022-03-03T13:13:00Z</dcterms:created>
  <dc:creator>xbany</dc:creator>
  <cp:lastModifiedBy>时光划过眼角の匆忙</cp:lastModifiedBy>
  <dcterms:modified xsi:type="dcterms:W3CDTF">2024-02-16T20:40:46Z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EF6A8D8AA95C41BAA274479471590446_12</vt:lpwstr>
  </property>
</Properties>
</file>