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5D86" w14:textId="77777777" w:rsidR="00EB62E5" w:rsidRPr="00334168" w:rsidRDefault="005F2A03" w:rsidP="00EB62E5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>Обращенность речи является одной из неотъемлемых характеристик коммуникации. В то же время проблема</w:t>
      </w:r>
      <w:r w:rsidR="00171809" w:rsidRPr="00334168">
        <w:rPr>
          <w:rFonts w:ascii="Times New Roman" w:hAnsi="Times New Roman" w:cs="Times New Roman"/>
          <w:sz w:val="24"/>
          <w:szCs w:val="24"/>
        </w:rPr>
        <w:t xml:space="preserve"> исследования обращения в лингвистике и риторике сохраняется на протяжении всей истории изучения данной категории.</w:t>
      </w:r>
      <w:r w:rsidR="00EB62E5" w:rsidRPr="00334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62590" w14:textId="0115F018" w:rsidR="00952B04" w:rsidRPr="00334168" w:rsidRDefault="00EB62E5" w:rsidP="00952B04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 xml:space="preserve">В риторике категория обращения фигурирует c давних пор, о чем, в частности, свидетельствует труд Гермогена из </w:t>
      </w:r>
      <w:proofErr w:type="spellStart"/>
      <w:r w:rsidRPr="00334168">
        <w:rPr>
          <w:rFonts w:ascii="Times New Roman" w:hAnsi="Times New Roman" w:cs="Times New Roman"/>
          <w:sz w:val="24"/>
          <w:szCs w:val="24"/>
        </w:rPr>
        <w:t>Тарса</w:t>
      </w:r>
      <w:proofErr w:type="spellEnd"/>
      <w:r w:rsidRPr="00334168">
        <w:rPr>
          <w:rFonts w:ascii="Times New Roman" w:hAnsi="Times New Roman" w:cs="Times New Roman"/>
          <w:sz w:val="24"/>
          <w:szCs w:val="24"/>
        </w:rPr>
        <w:t xml:space="preserve"> II в. н. э. Автор рассматривает обращение как ключевой инструмент юридического дискурса, позволяющий обратиться к аудитории и привлечь ее внимание [</w:t>
      </w:r>
      <w:r w:rsidR="008467EF">
        <w:rPr>
          <w:rFonts w:ascii="Times New Roman" w:hAnsi="Times New Roman" w:cs="Times New Roman"/>
          <w:sz w:val="24"/>
          <w:szCs w:val="24"/>
        </w:rPr>
        <w:t>7</w:t>
      </w:r>
      <w:r w:rsidRPr="00334168">
        <w:rPr>
          <w:rFonts w:ascii="Times New Roman" w:hAnsi="Times New Roman" w:cs="Times New Roman"/>
          <w:sz w:val="24"/>
          <w:szCs w:val="24"/>
        </w:rPr>
        <w:t xml:space="preserve">]. </w:t>
      </w:r>
      <w:r w:rsidR="000A5803">
        <w:rPr>
          <w:rFonts w:ascii="Times New Roman" w:hAnsi="Times New Roman" w:cs="Times New Roman"/>
          <w:sz w:val="24"/>
          <w:szCs w:val="24"/>
        </w:rPr>
        <w:t>Во Франции в эпоху классицизма</w:t>
      </w:r>
      <w:r w:rsidRPr="00334168">
        <w:rPr>
          <w:rFonts w:ascii="Times New Roman" w:hAnsi="Times New Roman" w:cs="Times New Roman"/>
          <w:sz w:val="24"/>
          <w:szCs w:val="24"/>
        </w:rPr>
        <w:t xml:space="preserve"> рассмотрение категории обращения было связано с появлением «Словаря Французской академии». Благодаря неоднократн</w:t>
      </w:r>
      <w:r w:rsidR="0043781A">
        <w:rPr>
          <w:rFonts w:ascii="Times New Roman" w:hAnsi="Times New Roman" w:cs="Times New Roman"/>
          <w:sz w:val="24"/>
          <w:szCs w:val="24"/>
        </w:rPr>
        <w:t>ым</w:t>
      </w:r>
      <w:r w:rsidRPr="00334168">
        <w:rPr>
          <w:rFonts w:ascii="Times New Roman" w:hAnsi="Times New Roman" w:cs="Times New Roman"/>
          <w:sz w:val="24"/>
          <w:szCs w:val="24"/>
        </w:rPr>
        <w:t xml:space="preserve"> переизд</w:t>
      </w:r>
      <w:r w:rsidR="0043781A">
        <w:rPr>
          <w:rFonts w:ascii="Times New Roman" w:hAnsi="Times New Roman" w:cs="Times New Roman"/>
          <w:sz w:val="24"/>
          <w:szCs w:val="24"/>
        </w:rPr>
        <w:t>аниям словаря</w:t>
      </w:r>
      <w:r w:rsidRPr="00334168">
        <w:rPr>
          <w:rFonts w:ascii="Times New Roman" w:hAnsi="Times New Roman" w:cs="Times New Roman"/>
          <w:sz w:val="24"/>
          <w:szCs w:val="24"/>
        </w:rPr>
        <w:t xml:space="preserve"> есть возможность проследить </w:t>
      </w:r>
      <w:r w:rsidR="0043781A">
        <w:rPr>
          <w:rFonts w:ascii="Times New Roman" w:hAnsi="Times New Roman" w:cs="Times New Roman"/>
          <w:sz w:val="24"/>
          <w:szCs w:val="24"/>
        </w:rPr>
        <w:t>изменения в</w:t>
      </w:r>
      <w:r w:rsidRPr="00334168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43781A">
        <w:rPr>
          <w:rFonts w:ascii="Times New Roman" w:hAnsi="Times New Roman" w:cs="Times New Roman"/>
          <w:sz w:val="24"/>
          <w:szCs w:val="24"/>
        </w:rPr>
        <w:t>и</w:t>
      </w:r>
      <w:r w:rsidRPr="00334168">
        <w:rPr>
          <w:rFonts w:ascii="Times New Roman" w:hAnsi="Times New Roman" w:cs="Times New Roman"/>
          <w:sz w:val="24"/>
          <w:szCs w:val="24"/>
        </w:rPr>
        <w:t xml:space="preserve"> данной категории [</w:t>
      </w:r>
      <w:r w:rsidR="008467EF">
        <w:rPr>
          <w:rFonts w:ascii="Times New Roman" w:hAnsi="Times New Roman" w:cs="Times New Roman"/>
          <w:sz w:val="24"/>
          <w:szCs w:val="24"/>
        </w:rPr>
        <w:t>3</w:t>
      </w:r>
      <w:r w:rsidRPr="00334168">
        <w:rPr>
          <w:rFonts w:ascii="Times New Roman" w:hAnsi="Times New Roman" w:cs="Times New Roman"/>
          <w:sz w:val="24"/>
          <w:szCs w:val="24"/>
        </w:rPr>
        <w:t>].</w:t>
      </w:r>
      <w:r w:rsidR="005326B7" w:rsidRPr="00334168">
        <w:rPr>
          <w:rFonts w:ascii="Times New Roman" w:hAnsi="Times New Roman" w:cs="Times New Roman"/>
          <w:sz w:val="24"/>
          <w:szCs w:val="24"/>
        </w:rPr>
        <w:t xml:space="preserve"> Ценным источником, позволяющим рассмотреть проблему обращения во французском языке, </w:t>
      </w:r>
      <w:r w:rsidR="00952B04" w:rsidRPr="0033416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326B7" w:rsidRPr="00334168">
        <w:rPr>
          <w:rFonts w:ascii="Times New Roman" w:hAnsi="Times New Roman" w:cs="Times New Roman"/>
          <w:sz w:val="24"/>
          <w:szCs w:val="24"/>
        </w:rPr>
        <w:t xml:space="preserve">являются научные труды </w:t>
      </w:r>
      <w:r w:rsidR="005326B7" w:rsidRPr="00334168">
        <w:rPr>
          <w:rFonts w:ascii="Times New Roman" w:hAnsi="Times New Roman" w:cs="Times New Roman"/>
          <w:sz w:val="24"/>
          <w:szCs w:val="24"/>
          <w:lang w:val="fr-FR"/>
        </w:rPr>
        <w:t>XVII</w:t>
      </w:r>
      <w:r w:rsidR="005326B7" w:rsidRPr="00334168">
        <w:rPr>
          <w:rFonts w:ascii="Times New Roman" w:hAnsi="Times New Roman" w:cs="Times New Roman"/>
          <w:sz w:val="24"/>
          <w:szCs w:val="24"/>
        </w:rPr>
        <w:t>–XIX вв.</w:t>
      </w:r>
      <w:r w:rsidR="00952B04" w:rsidRPr="00334168">
        <w:rPr>
          <w:rFonts w:ascii="Times New Roman" w:hAnsi="Times New Roman" w:cs="Times New Roman"/>
          <w:sz w:val="24"/>
          <w:szCs w:val="24"/>
        </w:rPr>
        <w:t xml:space="preserve"> в области риторики и лингвистики</w:t>
      </w:r>
      <w:r w:rsidR="005326B7" w:rsidRPr="00334168">
        <w:rPr>
          <w:rFonts w:ascii="Times New Roman" w:hAnsi="Times New Roman" w:cs="Times New Roman"/>
          <w:sz w:val="24"/>
          <w:szCs w:val="24"/>
        </w:rPr>
        <w:t xml:space="preserve"> [</w:t>
      </w:r>
      <w:r w:rsidR="008877EA">
        <w:rPr>
          <w:rFonts w:ascii="Times New Roman" w:hAnsi="Times New Roman" w:cs="Times New Roman"/>
          <w:sz w:val="24"/>
          <w:szCs w:val="24"/>
        </w:rPr>
        <w:t>1</w:t>
      </w:r>
      <w:r w:rsidR="008467EF">
        <w:rPr>
          <w:rFonts w:ascii="Times New Roman" w:hAnsi="Times New Roman" w:cs="Times New Roman"/>
          <w:sz w:val="24"/>
          <w:szCs w:val="24"/>
        </w:rPr>
        <w:t>0</w:t>
      </w:r>
      <w:r w:rsidR="008877EA">
        <w:rPr>
          <w:rFonts w:ascii="Times New Roman" w:hAnsi="Times New Roman" w:cs="Times New Roman"/>
          <w:sz w:val="24"/>
          <w:szCs w:val="24"/>
        </w:rPr>
        <w:t xml:space="preserve">, </w:t>
      </w:r>
      <w:r w:rsidR="008467EF">
        <w:rPr>
          <w:rFonts w:ascii="Times New Roman" w:hAnsi="Times New Roman" w:cs="Times New Roman"/>
          <w:sz w:val="24"/>
          <w:szCs w:val="24"/>
        </w:rPr>
        <w:t>4</w:t>
      </w:r>
      <w:r w:rsidR="008877EA">
        <w:rPr>
          <w:rFonts w:ascii="Times New Roman" w:hAnsi="Times New Roman" w:cs="Times New Roman"/>
          <w:sz w:val="24"/>
          <w:szCs w:val="24"/>
        </w:rPr>
        <w:t xml:space="preserve">, </w:t>
      </w:r>
      <w:r w:rsidR="008467EF">
        <w:rPr>
          <w:rFonts w:ascii="Times New Roman" w:hAnsi="Times New Roman" w:cs="Times New Roman"/>
          <w:sz w:val="24"/>
          <w:szCs w:val="24"/>
        </w:rPr>
        <w:t>8</w:t>
      </w:r>
      <w:r w:rsidR="005326B7" w:rsidRPr="00334168">
        <w:rPr>
          <w:rFonts w:ascii="Times New Roman" w:hAnsi="Times New Roman" w:cs="Times New Roman"/>
          <w:sz w:val="24"/>
          <w:szCs w:val="24"/>
        </w:rPr>
        <w:t xml:space="preserve">].  </w:t>
      </w:r>
    </w:p>
    <w:p w14:paraId="3179519F" w14:textId="6841F9DD" w:rsidR="00024177" w:rsidRPr="00334168" w:rsidRDefault="00EB62E5" w:rsidP="00024177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 xml:space="preserve"> </w:t>
      </w:r>
      <w:r w:rsidR="00952B04" w:rsidRPr="00334168">
        <w:rPr>
          <w:rFonts w:ascii="Times New Roman" w:hAnsi="Times New Roman" w:cs="Times New Roman"/>
          <w:sz w:val="24"/>
          <w:szCs w:val="24"/>
        </w:rPr>
        <w:t>Актуальность данного исследования обусловлена тем, что в настоящее время в лингвистике наблюдается повышенный интерес к функционально-семантическим категориям в целом и к проблемам анализа категории обращения. Об этом свидетельствует ряд научных публикаций [</w:t>
      </w:r>
      <w:r w:rsidR="008467EF">
        <w:rPr>
          <w:rFonts w:ascii="Times New Roman" w:hAnsi="Times New Roman" w:cs="Times New Roman"/>
          <w:sz w:val="24"/>
          <w:szCs w:val="24"/>
        </w:rPr>
        <w:t>2</w:t>
      </w:r>
      <w:r w:rsidR="00A61746">
        <w:rPr>
          <w:rFonts w:ascii="Times New Roman" w:hAnsi="Times New Roman" w:cs="Times New Roman"/>
          <w:sz w:val="24"/>
          <w:szCs w:val="24"/>
        </w:rPr>
        <w:t>,</w:t>
      </w:r>
      <w:r w:rsidR="00952B04" w:rsidRPr="00334168">
        <w:rPr>
          <w:rFonts w:ascii="Times New Roman" w:hAnsi="Times New Roman" w:cs="Times New Roman"/>
          <w:sz w:val="24"/>
          <w:szCs w:val="24"/>
        </w:rPr>
        <w:t xml:space="preserve"> </w:t>
      </w:r>
      <w:r w:rsidR="00A61746">
        <w:rPr>
          <w:rFonts w:ascii="Times New Roman" w:hAnsi="Times New Roman" w:cs="Times New Roman"/>
          <w:sz w:val="24"/>
          <w:szCs w:val="24"/>
        </w:rPr>
        <w:t>1</w:t>
      </w:r>
      <w:r w:rsidR="008467EF">
        <w:rPr>
          <w:rFonts w:ascii="Times New Roman" w:hAnsi="Times New Roman" w:cs="Times New Roman"/>
          <w:sz w:val="24"/>
          <w:szCs w:val="24"/>
        </w:rPr>
        <w:t>4</w:t>
      </w:r>
      <w:r w:rsidR="00A61746">
        <w:rPr>
          <w:rFonts w:ascii="Times New Roman" w:hAnsi="Times New Roman" w:cs="Times New Roman"/>
          <w:sz w:val="24"/>
          <w:szCs w:val="24"/>
        </w:rPr>
        <w:t xml:space="preserve">, </w:t>
      </w:r>
      <w:r w:rsidR="008467EF">
        <w:rPr>
          <w:rFonts w:ascii="Times New Roman" w:hAnsi="Times New Roman" w:cs="Times New Roman"/>
          <w:sz w:val="24"/>
          <w:szCs w:val="24"/>
        </w:rPr>
        <w:t>7</w:t>
      </w:r>
      <w:r w:rsidR="00952B04" w:rsidRPr="00334168">
        <w:rPr>
          <w:rFonts w:ascii="Times New Roman" w:hAnsi="Times New Roman" w:cs="Times New Roman"/>
          <w:sz w:val="24"/>
          <w:szCs w:val="24"/>
        </w:rPr>
        <w:t>].</w:t>
      </w:r>
      <w:r w:rsidR="00BB07FE" w:rsidRPr="00807A62">
        <w:rPr>
          <w:rFonts w:ascii="Times New Roman" w:hAnsi="Times New Roman" w:cs="Times New Roman"/>
          <w:sz w:val="24"/>
          <w:szCs w:val="24"/>
        </w:rPr>
        <w:t xml:space="preserve"> </w:t>
      </w:r>
      <w:r w:rsidR="007F32AB" w:rsidRPr="00334168">
        <w:rPr>
          <w:rFonts w:ascii="Times New Roman" w:hAnsi="Times New Roman" w:cs="Times New Roman"/>
          <w:sz w:val="24"/>
          <w:szCs w:val="24"/>
        </w:rPr>
        <w:t>Объектом исследования является история исследования категории обращения во французском языке. Предметом исследования является категория обращения во французском языке.</w:t>
      </w:r>
      <w:r w:rsidR="00024177" w:rsidRPr="00334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73EE5" w14:textId="2DD163EA" w:rsidR="00024177" w:rsidRPr="00334168" w:rsidRDefault="00024177" w:rsidP="00D660D9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 xml:space="preserve">Цель данного исследования состояла в </w:t>
      </w:r>
      <w:r w:rsidR="0043781A">
        <w:rPr>
          <w:rFonts w:ascii="Times New Roman" w:hAnsi="Times New Roman" w:cs="Times New Roman"/>
          <w:sz w:val="24"/>
          <w:szCs w:val="24"/>
        </w:rPr>
        <w:t>рассмотрении</w:t>
      </w:r>
      <w:r w:rsidRPr="00334168">
        <w:rPr>
          <w:rFonts w:ascii="Times New Roman" w:hAnsi="Times New Roman" w:cs="Times New Roman"/>
          <w:sz w:val="24"/>
          <w:szCs w:val="24"/>
        </w:rPr>
        <w:t xml:space="preserve"> истории исследования категории обращения и в выявлении подходов к анализу этой категории во французском языке с точки зрения лингвистики и риторики.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 </w:t>
      </w:r>
      <w:r w:rsidR="0043781A">
        <w:rPr>
          <w:rFonts w:ascii="Times New Roman" w:hAnsi="Times New Roman" w:cs="Times New Roman"/>
          <w:sz w:val="24"/>
          <w:szCs w:val="24"/>
        </w:rPr>
        <w:t>К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3781A">
        <w:rPr>
          <w:rFonts w:ascii="Times New Roman" w:hAnsi="Times New Roman" w:cs="Times New Roman"/>
          <w:sz w:val="24"/>
          <w:szCs w:val="24"/>
        </w:rPr>
        <w:t>ам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43781A">
        <w:rPr>
          <w:rFonts w:ascii="Times New Roman" w:hAnsi="Times New Roman" w:cs="Times New Roman"/>
          <w:sz w:val="24"/>
          <w:szCs w:val="24"/>
        </w:rPr>
        <w:t>относился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 анализ научной литературы, посвященной категории обращения во французском языке</w:t>
      </w:r>
      <w:r w:rsidR="00E301F1">
        <w:rPr>
          <w:rFonts w:ascii="Times New Roman" w:hAnsi="Times New Roman" w:cs="Times New Roman"/>
          <w:sz w:val="24"/>
          <w:szCs w:val="24"/>
        </w:rPr>
        <w:t xml:space="preserve"> и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E301F1">
        <w:rPr>
          <w:rFonts w:ascii="Times New Roman" w:hAnsi="Times New Roman" w:cs="Times New Roman"/>
          <w:sz w:val="24"/>
          <w:szCs w:val="24"/>
        </w:rPr>
        <w:t xml:space="preserve"> ее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332174">
        <w:rPr>
          <w:rFonts w:ascii="Times New Roman" w:hAnsi="Times New Roman" w:cs="Times New Roman"/>
          <w:sz w:val="24"/>
          <w:szCs w:val="24"/>
        </w:rPr>
        <w:t xml:space="preserve"> и </w:t>
      </w:r>
      <w:r w:rsidR="00EA1CAD" w:rsidRPr="00334168">
        <w:rPr>
          <w:rFonts w:ascii="Times New Roman" w:hAnsi="Times New Roman" w:cs="Times New Roman"/>
          <w:sz w:val="24"/>
          <w:szCs w:val="24"/>
        </w:rPr>
        <w:t xml:space="preserve">рассмотрение подходов к анализу категории обращения во французском языке в рамках лингвистики и риторики. </w:t>
      </w:r>
    </w:p>
    <w:p w14:paraId="4D0D543F" w14:textId="1C935E21" w:rsidR="00DF39C6" w:rsidRPr="00334168" w:rsidRDefault="00C17E6C" w:rsidP="00D660D9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 xml:space="preserve">В качестве материала исследования были использованы словарные статьи французских академических словарей и научные работы, посвященные категории обращения и изданные в период с </w:t>
      </w:r>
      <w:r w:rsidRPr="00334168">
        <w:rPr>
          <w:rFonts w:ascii="Times New Roman" w:hAnsi="Times New Roman" w:cs="Times New Roman"/>
          <w:sz w:val="24"/>
          <w:szCs w:val="24"/>
          <w:lang w:val="fr-FR"/>
        </w:rPr>
        <w:t>XVII</w:t>
      </w:r>
      <w:r w:rsidRPr="00334168">
        <w:rPr>
          <w:rFonts w:ascii="Times New Roman" w:hAnsi="Times New Roman" w:cs="Times New Roman"/>
          <w:sz w:val="24"/>
          <w:szCs w:val="24"/>
        </w:rPr>
        <w:t xml:space="preserve"> по </w:t>
      </w:r>
      <w:r w:rsidRPr="00334168">
        <w:rPr>
          <w:rFonts w:ascii="Times New Roman" w:hAnsi="Times New Roman" w:cs="Times New Roman"/>
          <w:sz w:val="24"/>
          <w:szCs w:val="24"/>
          <w:lang w:val="fr-FR"/>
        </w:rPr>
        <w:t>XXI</w:t>
      </w:r>
      <w:r w:rsidRPr="00334168">
        <w:rPr>
          <w:rFonts w:ascii="Times New Roman" w:hAnsi="Times New Roman" w:cs="Times New Roman"/>
          <w:sz w:val="24"/>
          <w:szCs w:val="24"/>
        </w:rPr>
        <w:t xml:space="preserve"> вв.</w:t>
      </w:r>
    </w:p>
    <w:p w14:paraId="19E5FD2C" w14:textId="3F2EC410" w:rsidR="00D660D9" w:rsidRPr="00334168" w:rsidRDefault="00D660D9" w:rsidP="00D660D9">
      <w:pPr>
        <w:tabs>
          <w:tab w:val="left" w:pos="1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>В ходе анализа материала были сделаны следующие выводы:</w:t>
      </w:r>
    </w:p>
    <w:p w14:paraId="53F881F4" w14:textId="7F229E3F" w:rsidR="00A62602" w:rsidRPr="00334168" w:rsidRDefault="00D660D9" w:rsidP="000C2E2A">
      <w:pPr>
        <w:pStyle w:val="a7"/>
        <w:numPr>
          <w:ilvl w:val="0"/>
          <w:numId w:val="1"/>
        </w:numPr>
        <w:tabs>
          <w:tab w:val="left" w:pos="154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 xml:space="preserve">Словарное определение категории обращения претерпело существенные изменения: </w:t>
      </w:r>
      <w:r w:rsidR="00A62602" w:rsidRPr="00334168">
        <w:rPr>
          <w:rFonts w:ascii="Times New Roman" w:hAnsi="Times New Roman" w:cs="Times New Roman"/>
          <w:sz w:val="24"/>
          <w:szCs w:val="24"/>
        </w:rPr>
        <w:t>в современной</w:t>
      </w:r>
      <w:r w:rsidRPr="00334168">
        <w:rPr>
          <w:rFonts w:ascii="Times New Roman" w:hAnsi="Times New Roman" w:cs="Times New Roman"/>
          <w:sz w:val="24"/>
          <w:szCs w:val="24"/>
        </w:rPr>
        <w:t xml:space="preserve"> версии «Словаря Фран</w:t>
      </w:r>
      <w:r w:rsidR="00A62602" w:rsidRPr="00334168">
        <w:rPr>
          <w:rFonts w:ascii="Times New Roman" w:hAnsi="Times New Roman" w:cs="Times New Roman"/>
          <w:sz w:val="24"/>
          <w:szCs w:val="24"/>
        </w:rPr>
        <w:t>ц</w:t>
      </w:r>
      <w:r w:rsidRPr="00334168">
        <w:rPr>
          <w:rFonts w:ascii="Times New Roman" w:hAnsi="Times New Roman" w:cs="Times New Roman"/>
          <w:sz w:val="24"/>
          <w:szCs w:val="24"/>
        </w:rPr>
        <w:t>узской академии»</w:t>
      </w:r>
      <w:r w:rsidR="000D27D7">
        <w:rPr>
          <w:rFonts w:ascii="Times New Roman" w:hAnsi="Times New Roman" w:cs="Times New Roman"/>
          <w:sz w:val="24"/>
          <w:szCs w:val="24"/>
        </w:rPr>
        <w:t xml:space="preserve"> </w:t>
      </w:r>
      <w:r w:rsidR="00A62602" w:rsidRPr="00334168">
        <w:rPr>
          <w:rFonts w:ascii="Times New Roman" w:hAnsi="Times New Roman" w:cs="Times New Roman"/>
          <w:sz w:val="24"/>
          <w:szCs w:val="24"/>
        </w:rPr>
        <w:t>в начале</w:t>
      </w:r>
      <w:r w:rsidR="000D27D7">
        <w:rPr>
          <w:rFonts w:ascii="Times New Roman" w:hAnsi="Times New Roman" w:cs="Times New Roman"/>
          <w:sz w:val="24"/>
          <w:szCs w:val="24"/>
        </w:rPr>
        <w:t xml:space="preserve"> словарной</w:t>
      </w:r>
      <w:r w:rsidR="00A62602" w:rsidRPr="00334168">
        <w:rPr>
          <w:rFonts w:ascii="Times New Roman" w:hAnsi="Times New Roman" w:cs="Times New Roman"/>
          <w:sz w:val="24"/>
          <w:szCs w:val="24"/>
        </w:rPr>
        <w:t xml:space="preserve"> статьи представлена этимология слова «</w:t>
      </w:r>
      <w:proofErr w:type="spellStart"/>
      <w:r w:rsidR="00A62602" w:rsidRPr="00334168">
        <w:rPr>
          <w:rFonts w:ascii="Times New Roman" w:hAnsi="Times New Roman" w:cs="Times New Roman"/>
          <w:sz w:val="24"/>
          <w:szCs w:val="24"/>
        </w:rPr>
        <w:t>apostrophe</w:t>
      </w:r>
      <w:proofErr w:type="spellEnd"/>
      <w:r w:rsidR="00A62602" w:rsidRPr="00334168">
        <w:rPr>
          <w:rFonts w:ascii="Times New Roman" w:hAnsi="Times New Roman" w:cs="Times New Roman"/>
          <w:sz w:val="24"/>
          <w:szCs w:val="24"/>
        </w:rPr>
        <w:t xml:space="preserve">», заимствованного из греческого через латинский язык в XVI веке со значением «отклонение; прием, с помощью которого оратор отклоняется от основной речи, чтобы обратиться к какому-то человеку»; далее дано определение обращения с точки зрения риторики: «стилистическая фигура, служащая для прямого обращения к лицам или олицетворенным предметам»; также </w:t>
      </w:r>
      <w:r w:rsidR="004617C4">
        <w:rPr>
          <w:rFonts w:ascii="Times New Roman" w:hAnsi="Times New Roman" w:cs="Times New Roman"/>
          <w:sz w:val="24"/>
          <w:szCs w:val="24"/>
        </w:rPr>
        <w:t>представлено</w:t>
      </w:r>
      <w:r w:rsidR="00A62602" w:rsidRPr="00334168">
        <w:rPr>
          <w:rFonts w:ascii="Times New Roman" w:hAnsi="Times New Roman" w:cs="Times New Roman"/>
          <w:sz w:val="24"/>
          <w:szCs w:val="24"/>
        </w:rPr>
        <w:t xml:space="preserve"> определение обращения как грамматической категории</w:t>
      </w:r>
      <w:r w:rsidR="00807A62" w:rsidRPr="00807A62">
        <w:rPr>
          <w:rFonts w:ascii="Times New Roman" w:hAnsi="Times New Roman" w:cs="Times New Roman"/>
          <w:sz w:val="24"/>
          <w:szCs w:val="24"/>
        </w:rPr>
        <w:t xml:space="preserve"> [</w:t>
      </w:r>
      <w:r w:rsidR="00807A62" w:rsidRPr="00E464FF">
        <w:rPr>
          <w:rFonts w:ascii="Times New Roman" w:hAnsi="Times New Roman" w:cs="Times New Roman"/>
          <w:sz w:val="24"/>
          <w:szCs w:val="24"/>
        </w:rPr>
        <w:t>3</w:t>
      </w:r>
      <w:r w:rsidR="00807A62" w:rsidRPr="00807A62">
        <w:rPr>
          <w:rFonts w:ascii="Times New Roman" w:hAnsi="Times New Roman" w:cs="Times New Roman"/>
          <w:sz w:val="24"/>
          <w:szCs w:val="24"/>
        </w:rPr>
        <w:t>]</w:t>
      </w:r>
      <w:r w:rsidR="002D2218" w:rsidRPr="00334168">
        <w:rPr>
          <w:rFonts w:ascii="Times New Roman" w:hAnsi="Times New Roman" w:cs="Times New Roman"/>
          <w:sz w:val="24"/>
          <w:szCs w:val="24"/>
        </w:rPr>
        <w:t>;</w:t>
      </w:r>
    </w:p>
    <w:p w14:paraId="2C72F6EA" w14:textId="77777777" w:rsidR="00E464FF" w:rsidRDefault="00FC22FC" w:rsidP="00E464FF">
      <w:pPr>
        <w:pStyle w:val="a7"/>
        <w:numPr>
          <w:ilvl w:val="0"/>
          <w:numId w:val="1"/>
        </w:numPr>
        <w:tabs>
          <w:tab w:val="left" w:pos="154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>Одной из первых научных работ, в которых упоминается категория обращения, является «Риторика, или искусство речи» Б. Лами, созданная в 1675 г. [</w:t>
      </w:r>
      <w:r w:rsidR="00315850">
        <w:rPr>
          <w:rFonts w:ascii="Times New Roman" w:hAnsi="Times New Roman" w:cs="Times New Roman"/>
          <w:sz w:val="24"/>
          <w:szCs w:val="24"/>
        </w:rPr>
        <w:t>1</w:t>
      </w:r>
      <w:r w:rsidR="008467EF">
        <w:rPr>
          <w:rFonts w:ascii="Times New Roman" w:hAnsi="Times New Roman" w:cs="Times New Roman"/>
          <w:sz w:val="24"/>
          <w:szCs w:val="24"/>
        </w:rPr>
        <w:t>0</w:t>
      </w:r>
      <w:r w:rsidRPr="00334168">
        <w:rPr>
          <w:rFonts w:ascii="Times New Roman" w:hAnsi="Times New Roman" w:cs="Times New Roman"/>
          <w:sz w:val="24"/>
          <w:szCs w:val="24"/>
        </w:rPr>
        <w:t>]. Следующей работой, связанной с категорией обращения, является «Трактат о тропах» французского философа С. Ш. </w:t>
      </w:r>
      <w:proofErr w:type="spellStart"/>
      <w:r w:rsidRPr="00334168">
        <w:rPr>
          <w:rFonts w:ascii="Times New Roman" w:hAnsi="Times New Roman" w:cs="Times New Roman"/>
          <w:sz w:val="24"/>
          <w:szCs w:val="24"/>
        </w:rPr>
        <w:t>Дюмарсе</w:t>
      </w:r>
      <w:proofErr w:type="spellEnd"/>
      <w:r w:rsidRPr="00334168">
        <w:rPr>
          <w:rFonts w:ascii="Times New Roman" w:hAnsi="Times New Roman" w:cs="Times New Roman"/>
          <w:sz w:val="24"/>
          <w:szCs w:val="24"/>
        </w:rPr>
        <w:t xml:space="preserve">, изданный в 1730 г. </w:t>
      </w:r>
      <w:r w:rsidR="004617C4">
        <w:rPr>
          <w:rFonts w:ascii="Times New Roman" w:hAnsi="Times New Roman" w:cs="Times New Roman"/>
          <w:sz w:val="24"/>
          <w:szCs w:val="24"/>
        </w:rPr>
        <w:t>А</w:t>
      </w:r>
      <w:r w:rsidRPr="00334168">
        <w:rPr>
          <w:rFonts w:ascii="Times New Roman" w:hAnsi="Times New Roman" w:cs="Times New Roman"/>
          <w:sz w:val="24"/>
          <w:szCs w:val="24"/>
        </w:rPr>
        <w:t>втор указывает на то, что обращение отличается от других фигур, потому что только оно позволяет адресовать свою речь к присутствующему или отсутствующему лицу [</w:t>
      </w:r>
      <w:r w:rsidR="008467EF">
        <w:rPr>
          <w:rFonts w:ascii="Times New Roman" w:hAnsi="Times New Roman" w:cs="Times New Roman"/>
          <w:sz w:val="24"/>
          <w:szCs w:val="24"/>
        </w:rPr>
        <w:t>4</w:t>
      </w:r>
      <w:r w:rsidRPr="00334168">
        <w:rPr>
          <w:rFonts w:ascii="Times New Roman" w:hAnsi="Times New Roman" w:cs="Times New Roman"/>
          <w:sz w:val="24"/>
          <w:szCs w:val="24"/>
        </w:rPr>
        <w:t>]</w:t>
      </w:r>
      <w:r w:rsidR="0027123E">
        <w:rPr>
          <w:rFonts w:ascii="Times New Roman" w:hAnsi="Times New Roman" w:cs="Times New Roman"/>
          <w:sz w:val="24"/>
          <w:szCs w:val="24"/>
        </w:rPr>
        <w:t xml:space="preserve"> </w:t>
      </w:r>
      <w:r w:rsidRPr="0027123E">
        <w:rPr>
          <w:rFonts w:ascii="Times New Roman" w:hAnsi="Times New Roman" w:cs="Times New Roman"/>
          <w:sz w:val="24"/>
          <w:szCs w:val="24"/>
        </w:rPr>
        <w:t xml:space="preserve">В 1821 г. французский грамматист П. </w:t>
      </w:r>
      <w:proofErr w:type="spellStart"/>
      <w:r w:rsidRPr="0027123E">
        <w:rPr>
          <w:rFonts w:ascii="Times New Roman" w:hAnsi="Times New Roman" w:cs="Times New Roman"/>
          <w:sz w:val="24"/>
          <w:szCs w:val="24"/>
        </w:rPr>
        <w:t>Фонтанье</w:t>
      </w:r>
      <w:proofErr w:type="spellEnd"/>
      <w:r w:rsidRPr="0027123E">
        <w:rPr>
          <w:rFonts w:ascii="Times New Roman" w:hAnsi="Times New Roman" w:cs="Times New Roman"/>
          <w:sz w:val="24"/>
          <w:szCs w:val="24"/>
        </w:rPr>
        <w:t xml:space="preserve"> уточняет и расширяет определения своих предшественников: обращение, по его мнению, позволяет обратиться от одного объекта к другому или к самому себе [</w:t>
      </w:r>
      <w:r w:rsidR="008467EF">
        <w:rPr>
          <w:rFonts w:ascii="Times New Roman" w:hAnsi="Times New Roman" w:cs="Times New Roman"/>
          <w:sz w:val="24"/>
          <w:szCs w:val="24"/>
        </w:rPr>
        <w:t>8</w:t>
      </w:r>
      <w:r w:rsidRPr="0027123E">
        <w:rPr>
          <w:rFonts w:ascii="Times New Roman" w:hAnsi="Times New Roman" w:cs="Times New Roman"/>
          <w:sz w:val="24"/>
          <w:szCs w:val="24"/>
        </w:rPr>
        <w:t>]</w:t>
      </w:r>
      <w:r w:rsidR="002D2218" w:rsidRPr="0027123E">
        <w:rPr>
          <w:rFonts w:ascii="Times New Roman" w:hAnsi="Times New Roman" w:cs="Times New Roman"/>
          <w:sz w:val="24"/>
          <w:szCs w:val="24"/>
        </w:rPr>
        <w:t>;</w:t>
      </w:r>
    </w:p>
    <w:p w14:paraId="71D9FFCB" w14:textId="032B3A94" w:rsidR="002D2218" w:rsidRPr="00E464FF" w:rsidRDefault="002D2218" w:rsidP="00E464FF">
      <w:pPr>
        <w:pStyle w:val="a7"/>
        <w:numPr>
          <w:ilvl w:val="0"/>
          <w:numId w:val="1"/>
        </w:numPr>
        <w:tabs>
          <w:tab w:val="left" w:pos="154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64FF">
        <w:rPr>
          <w:rFonts w:ascii="Times New Roman" w:hAnsi="Times New Roman" w:cs="Times New Roman"/>
          <w:sz w:val="24"/>
          <w:szCs w:val="24"/>
        </w:rPr>
        <w:t xml:space="preserve">В период с 1970-х по 2000 г. преобладало изучение категории обращения с точки зрения литературоведения. </w:t>
      </w:r>
      <w:r w:rsidR="005D647C" w:rsidRPr="00E464FF">
        <w:rPr>
          <w:rFonts w:ascii="Times New Roman" w:hAnsi="Times New Roman" w:cs="Times New Roman"/>
          <w:sz w:val="24"/>
          <w:szCs w:val="24"/>
        </w:rPr>
        <w:t>О</w:t>
      </w:r>
      <w:r w:rsidRPr="00E464FF">
        <w:rPr>
          <w:rFonts w:ascii="Times New Roman" w:hAnsi="Times New Roman" w:cs="Times New Roman"/>
          <w:sz w:val="24"/>
          <w:szCs w:val="24"/>
        </w:rPr>
        <w:t xml:space="preserve">собой популярностью пользуются научные </w:t>
      </w:r>
      <w:r w:rsidRPr="00E464FF">
        <w:rPr>
          <w:rFonts w:ascii="Times New Roman" w:hAnsi="Times New Roman" w:cs="Times New Roman"/>
          <w:sz w:val="24"/>
          <w:szCs w:val="24"/>
        </w:rPr>
        <w:lastRenderedPageBreak/>
        <w:t>исследования, рассматривающие категорию обращения на материале различных литературных источников (стихи и проза) [</w:t>
      </w:r>
      <w:r w:rsidR="008467EF" w:rsidRPr="00E464FF">
        <w:rPr>
          <w:rFonts w:ascii="Times New Roman" w:hAnsi="Times New Roman" w:cs="Times New Roman"/>
          <w:sz w:val="24"/>
          <w:szCs w:val="24"/>
        </w:rPr>
        <w:t>6</w:t>
      </w:r>
      <w:r w:rsidR="00C32A25" w:rsidRPr="00E464FF">
        <w:rPr>
          <w:rFonts w:ascii="Times New Roman" w:hAnsi="Times New Roman" w:cs="Times New Roman"/>
          <w:sz w:val="24"/>
          <w:szCs w:val="24"/>
        </w:rPr>
        <w:t>, 1</w:t>
      </w:r>
      <w:r w:rsidR="008467EF" w:rsidRPr="00E464FF">
        <w:rPr>
          <w:rFonts w:ascii="Times New Roman" w:hAnsi="Times New Roman" w:cs="Times New Roman"/>
          <w:sz w:val="24"/>
          <w:szCs w:val="24"/>
        </w:rPr>
        <w:t>1</w:t>
      </w:r>
      <w:r w:rsidR="00C32A25" w:rsidRPr="00E464FF">
        <w:rPr>
          <w:rFonts w:ascii="Times New Roman" w:hAnsi="Times New Roman" w:cs="Times New Roman"/>
          <w:sz w:val="24"/>
          <w:szCs w:val="24"/>
        </w:rPr>
        <w:t>,</w:t>
      </w:r>
      <w:r w:rsidRPr="00E464FF">
        <w:rPr>
          <w:rFonts w:ascii="Times New Roman" w:hAnsi="Times New Roman" w:cs="Times New Roman"/>
          <w:sz w:val="24"/>
          <w:szCs w:val="24"/>
        </w:rPr>
        <w:t xml:space="preserve"> </w:t>
      </w:r>
      <w:r w:rsidR="008467EF" w:rsidRPr="00E464FF">
        <w:rPr>
          <w:rFonts w:ascii="Times New Roman" w:hAnsi="Times New Roman" w:cs="Times New Roman"/>
          <w:sz w:val="24"/>
          <w:szCs w:val="24"/>
        </w:rPr>
        <w:t>5</w:t>
      </w:r>
      <w:r w:rsidR="00C32A25" w:rsidRPr="00E464FF">
        <w:rPr>
          <w:rFonts w:ascii="Times New Roman" w:hAnsi="Times New Roman" w:cs="Times New Roman"/>
          <w:sz w:val="24"/>
          <w:szCs w:val="24"/>
        </w:rPr>
        <w:t>,</w:t>
      </w:r>
      <w:r w:rsidRPr="00E464FF">
        <w:rPr>
          <w:rFonts w:ascii="Times New Roman" w:hAnsi="Times New Roman" w:cs="Times New Roman"/>
          <w:sz w:val="24"/>
          <w:szCs w:val="24"/>
        </w:rPr>
        <w:t xml:space="preserve"> </w:t>
      </w:r>
      <w:r w:rsidR="00C32A25" w:rsidRPr="00E464FF">
        <w:rPr>
          <w:rFonts w:ascii="Times New Roman" w:hAnsi="Times New Roman" w:cs="Times New Roman"/>
          <w:sz w:val="24"/>
          <w:szCs w:val="24"/>
        </w:rPr>
        <w:t>1</w:t>
      </w:r>
      <w:r w:rsidR="008467EF" w:rsidRPr="00E464FF">
        <w:rPr>
          <w:rFonts w:ascii="Times New Roman" w:hAnsi="Times New Roman" w:cs="Times New Roman"/>
          <w:sz w:val="24"/>
          <w:szCs w:val="24"/>
        </w:rPr>
        <w:t>3</w:t>
      </w:r>
      <w:r w:rsidRPr="00E464FF">
        <w:rPr>
          <w:rFonts w:ascii="Times New Roman" w:hAnsi="Times New Roman" w:cs="Times New Roman"/>
          <w:sz w:val="24"/>
          <w:szCs w:val="24"/>
        </w:rPr>
        <w:t xml:space="preserve">]. </w:t>
      </w:r>
      <w:r w:rsidR="005D647C" w:rsidRPr="00E464FF">
        <w:rPr>
          <w:rFonts w:ascii="Times New Roman" w:hAnsi="Times New Roman" w:cs="Times New Roman"/>
          <w:sz w:val="24"/>
          <w:szCs w:val="24"/>
        </w:rPr>
        <w:t>В это же время г</w:t>
      </w:r>
      <w:r w:rsidRPr="00E464FF">
        <w:rPr>
          <w:rFonts w:ascii="Times New Roman" w:hAnsi="Times New Roman" w:cs="Times New Roman"/>
          <w:sz w:val="24"/>
          <w:szCs w:val="24"/>
        </w:rPr>
        <w:t>рамматисты пытаются выявить характерные черты обращения как лексико-грамматической категории, определить параметры выделения обращения в дискурсе и разграничить сферы его употребления [</w:t>
      </w:r>
      <w:r w:rsidR="008467EF" w:rsidRPr="00E464FF">
        <w:rPr>
          <w:rFonts w:ascii="Times New Roman" w:hAnsi="Times New Roman" w:cs="Times New Roman"/>
          <w:sz w:val="24"/>
          <w:szCs w:val="24"/>
        </w:rPr>
        <w:t>1</w:t>
      </w:r>
      <w:r w:rsidRPr="00E464FF">
        <w:rPr>
          <w:rFonts w:ascii="Times New Roman" w:hAnsi="Times New Roman" w:cs="Times New Roman"/>
          <w:sz w:val="24"/>
          <w:szCs w:val="24"/>
        </w:rPr>
        <w:t>,</w:t>
      </w:r>
      <w:r w:rsidR="00C32A25" w:rsidRPr="00E464FF">
        <w:rPr>
          <w:rFonts w:ascii="Times New Roman" w:hAnsi="Times New Roman" w:cs="Times New Roman"/>
          <w:sz w:val="24"/>
          <w:szCs w:val="24"/>
        </w:rPr>
        <w:t xml:space="preserve"> 1</w:t>
      </w:r>
      <w:r w:rsidR="008467EF" w:rsidRPr="00E464FF">
        <w:rPr>
          <w:rFonts w:ascii="Times New Roman" w:hAnsi="Times New Roman" w:cs="Times New Roman"/>
          <w:sz w:val="24"/>
          <w:szCs w:val="24"/>
        </w:rPr>
        <w:t>2</w:t>
      </w:r>
      <w:r w:rsidRPr="00E464FF">
        <w:rPr>
          <w:rFonts w:ascii="Times New Roman" w:hAnsi="Times New Roman" w:cs="Times New Roman"/>
          <w:sz w:val="24"/>
          <w:szCs w:val="24"/>
        </w:rPr>
        <w:t>];</w:t>
      </w:r>
    </w:p>
    <w:p w14:paraId="6499339C" w14:textId="5A54358A" w:rsidR="002D2218" w:rsidRPr="00334168" w:rsidRDefault="002D2218" w:rsidP="000C2E2A">
      <w:pPr>
        <w:pStyle w:val="a7"/>
        <w:numPr>
          <w:ilvl w:val="0"/>
          <w:numId w:val="1"/>
        </w:numPr>
        <w:tabs>
          <w:tab w:val="left" w:pos="154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4168">
        <w:rPr>
          <w:rFonts w:ascii="Times New Roman" w:hAnsi="Times New Roman" w:cs="Times New Roman"/>
          <w:sz w:val="24"/>
          <w:szCs w:val="24"/>
        </w:rPr>
        <w:t>Для периода 2000–2010 гг. характерно рассмотрение категории обращения как элемента коммуникативного акта [</w:t>
      </w:r>
      <w:r w:rsidR="008467EF">
        <w:rPr>
          <w:rFonts w:ascii="Times New Roman" w:hAnsi="Times New Roman" w:cs="Times New Roman"/>
          <w:sz w:val="24"/>
          <w:szCs w:val="24"/>
        </w:rPr>
        <w:t>9</w:t>
      </w:r>
      <w:r w:rsidR="00C32A25">
        <w:rPr>
          <w:rFonts w:ascii="Times New Roman" w:hAnsi="Times New Roman" w:cs="Times New Roman"/>
          <w:sz w:val="24"/>
          <w:szCs w:val="24"/>
        </w:rPr>
        <w:t xml:space="preserve">, </w:t>
      </w:r>
      <w:r w:rsidR="008467EF">
        <w:rPr>
          <w:rFonts w:ascii="Times New Roman" w:hAnsi="Times New Roman" w:cs="Times New Roman"/>
          <w:sz w:val="24"/>
          <w:szCs w:val="24"/>
        </w:rPr>
        <w:t>2</w:t>
      </w:r>
      <w:r w:rsidR="00C32A25">
        <w:rPr>
          <w:rFonts w:ascii="Times New Roman" w:hAnsi="Times New Roman" w:cs="Times New Roman"/>
          <w:sz w:val="24"/>
          <w:szCs w:val="24"/>
        </w:rPr>
        <w:t>, 1</w:t>
      </w:r>
      <w:r w:rsidR="008467EF">
        <w:rPr>
          <w:rFonts w:ascii="Times New Roman" w:hAnsi="Times New Roman" w:cs="Times New Roman"/>
          <w:sz w:val="24"/>
          <w:szCs w:val="24"/>
        </w:rPr>
        <w:t>4</w:t>
      </w:r>
      <w:r w:rsidRPr="00334168">
        <w:rPr>
          <w:rFonts w:ascii="Times New Roman" w:hAnsi="Times New Roman" w:cs="Times New Roman"/>
          <w:sz w:val="24"/>
          <w:szCs w:val="24"/>
        </w:rPr>
        <w:t>]</w:t>
      </w:r>
      <w:r w:rsidR="000A5803">
        <w:rPr>
          <w:rFonts w:ascii="Times New Roman" w:hAnsi="Times New Roman" w:cs="Times New Roman"/>
          <w:sz w:val="24"/>
          <w:szCs w:val="24"/>
        </w:rPr>
        <w:t>.</w:t>
      </w:r>
    </w:p>
    <w:p w14:paraId="1B6B2434" w14:textId="77777777" w:rsidR="00B8610B" w:rsidRDefault="00B8610B" w:rsidP="000C2E2A">
      <w:pPr>
        <w:pStyle w:val="a7"/>
        <w:tabs>
          <w:tab w:val="left" w:pos="154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7114F" w14:textId="408DCFD6" w:rsidR="002D2218" w:rsidRPr="00334168" w:rsidRDefault="002D2218" w:rsidP="000C2E2A">
      <w:pPr>
        <w:pStyle w:val="a7"/>
        <w:tabs>
          <w:tab w:val="left" w:pos="154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16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42E5253" w14:textId="77777777" w:rsidR="008E4F22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>Chevalier J.-C., Blanche-Benveniste C., Arrivé M., Peytard J. Grammaire du français contemporain. – Paris: Larousse, 1994. – 495 p.</w:t>
      </w:r>
    </w:p>
    <w:p w14:paraId="2C97A456" w14:textId="77777777" w:rsidR="00A61746" w:rsidRPr="00E370E9" w:rsidRDefault="00A61746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Détrie C. Le détachement apostrophique modifie-t-il l'organisation prédicative de l'énoncé hôte? // Représentations du sens linguistique III. 2009.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 xml:space="preserve">P. 61-73. URL: https://www.cairn.info/representations-du-sens-linguistique-III--9782801116043-page-61.htm </w:t>
      </w:r>
    </w:p>
    <w:p w14:paraId="236DD952" w14:textId="77777777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Dictionnaire de l’Académie française. URL: https://www.dictionnaire-academie.fr/ </w:t>
      </w:r>
    </w:p>
    <w:p w14:paraId="4836E705" w14:textId="5018F01A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>Du Marsais C. Traité des tropes. URL</w:t>
      </w:r>
      <w:r w:rsidRPr="00E370E9">
        <w:rPr>
          <w:rFonts w:ascii="Times New Roman" w:hAnsi="Times New Roman" w:cs="Times New Roman"/>
          <w:sz w:val="24"/>
          <w:szCs w:val="24"/>
        </w:rPr>
        <w:t xml:space="preserve">: 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https</w:t>
      </w:r>
      <w:r w:rsidRPr="00E370E9">
        <w:rPr>
          <w:rFonts w:ascii="Times New Roman" w:hAnsi="Times New Roman" w:cs="Times New Roman"/>
          <w:sz w:val="24"/>
          <w:szCs w:val="24"/>
        </w:rPr>
        <w:t>://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obvil</w:t>
      </w:r>
      <w:r w:rsidRPr="00E370E9">
        <w:rPr>
          <w:rFonts w:ascii="Times New Roman" w:hAnsi="Times New Roman" w:cs="Times New Roman"/>
          <w:sz w:val="24"/>
          <w:szCs w:val="24"/>
        </w:rPr>
        <w:t>.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sorbonne</w:t>
      </w:r>
      <w:r w:rsidRPr="00E370E9">
        <w:rPr>
          <w:rFonts w:ascii="Times New Roman" w:hAnsi="Times New Roman" w:cs="Times New Roman"/>
          <w:sz w:val="24"/>
          <w:szCs w:val="24"/>
        </w:rPr>
        <w:t>-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universite</w:t>
      </w:r>
      <w:r w:rsidRPr="00E370E9">
        <w:rPr>
          <w:rFonts w:ascii="Times New Roman" w:hAnsi="Times New Roman" w:cs="Times New Roman"/>
          <w:sz w:val="24"/>
          <w:szCs w:val="24"/>
        </w:rPr>
        <w:t>.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fr</w:t>
      </w:r>
      <w:r w:rsidRPr="00E370E9">
        <w:rPr>
          <w:rFonts w:ascii="Times New Roman" w:hAnsi="Times New Roman" w:cs="Times New Roman"/>
          <w:sz w:val="24"/>
          <w:szCs w:val="24"/>
        </w:rPr>
        <w:t>/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corpus</w:t>
      </w:r>
      <w:r w:rsidRPr="00E370E9">
        <w:rPr>
          <w:rFonts w:ascii="Times New Roman" w:hAnsi="Times New Roman" w:cs="Times New Roman"/>
          <w:sz w:val="24"/>
          <w:szCs w:val="24"/>
        </w:rPr>
        <w:t>/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critique</w:t>
      </w:r>
      <w:r w:rsidRPr="00E370E9">
        <w:rPr>
          <w:rFonts w:ascii="Times New Roman" w:hAnsi="Times New Roman" w:cs="Times New Roman"/>
          <w:sz w:val="24"/>
          <w:szCs w:val="24"/>
        </w:rPr>
        <w:t>/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dumarsais</w:t>
      </w:r>
      <w:r w:rsidRPr="00E370E9">
        <w:rPr>
          <w:rFonts w:ascii="Times New Roman" w:hAnsi="Times New Roman" w:cs="Times New Roman"/>
          <w:sz w:val="24"/>
          <w:szCs w:val="24"/>
        </w:rPr>
        <w:t>_</w:t>
      </w:r>
      <w:r w:rsidRPr="00E370E9">
        <w:rPr>
          <w:rFonts w:ascii="Times New Roman" w:hAnsi="Times New Roman" w:cs="Times New Roman"/>
          <w:sz w:val="24"/>
          <w:szCs w:val="24"/>
          <w:lang w:val="fr-FR"/>
        </w:rPr>
        <w:t>tropes</w:t>
      </w:r>
      <w:r w:rsidRPr="00E370E9">
        <w:rPr>
          <w:rFonts w:ascii="Times New Roman" w:hAnsi="Times New Roman" w:cs="Times New Roman"/>
          <w:sz w:val="24"/>
          <w:szCs w:val="24"/>
        </w:rPr>
        <w:t xml:space="preserve"> (дата обращения: 28.01.2024).</w:t>
      </w:r>
    </w:p>
    <w:p w14:paraId="7D49888C" w14:textId="4809A3AD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Dufeu P.-Y. Impératif et interlocution dans la langue du XVIIe siècle // L’information grammaticale.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 xml:space="preserve">1998. №78. P. 21-27. URL: https://www.persee.fr/doc/igram_0222-9838_1998_num_78_1_2855?q=apostrophe </w:t>
      </w:r>
    </w:p>
    <w:p w14:paraId="09086BFB" w14:textId="03A5D952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Duplat A. Étude stylistique des apostrophes adressées aux personnages féminins dans les romans de Chrétien de Troyes // Cahiers de Civilisation Médiévale. </w:t>
      </w:r>
      <w:r w:rsidRPr="008E4F22">
        <w:rPr>
          <w:rFonts w:ascii="Times New Roman" w:hAnsi="Times New Roman" w:cs="Times New Roman"/>
          <w:sz w:val="24"/>
          <w:szCs w:val="24"/>
          <w:lang w:val="fr-FR"/>
        </w:rPr>
        <w:t xml:space="preserve">1974. №17-66.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>P. 129-152. URL: https://www.persee.fr/doc/palla_0031-0387_1998_num_49_1_1506?q=apostrophe</w:t>
      </w:r>
    </w:p>
    <w:p w14:paraId="23233F3F" w14:textId="5DA6D210" w:rsidR="00334168" w:rsidRPr="00E370E9" w:rsidRDefault="00334168" w:rsidP="00212B32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Faerber J., Loignon S. Les procédés littéraires.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>2018. P. 36-38. URL: https://www.cairn.info/les-procedes-litteraires--9782200619947-page-36.htm</w:t>
      </w:r>
    </w:p>
    <w:p w14:paraId="1A3E1D2B" w14:textId="162AAE02" w:rsidR="00334168" w:rsidRPr="00E370E9" w:rsidRDefault="00334168" w:rsidP="00212B32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>Fontanier P. Les figures du discours. – Paris: Champs-Flammarion, 1977. – 510 p.</w:t>
      </w:r>
    </w:p>
    <w:p w14:paraId="5BF1C6D2" w14:textId="1CA30E14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Lagorgette D. Du vocatif à l'apostrophe : Problèmes terminologiques et théoriques, termes d'adresse et détachement en diachronie en français // L'information grammaticale.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>2006. №109. P. 38-44. URL: https://www.persee.fr/doc/igram_0222-9838_2006_num_109_1_3814?q=apostrophe</w:t>
      </w:r>
    </w:p>
    <w:p w14:paraId="65655C13" w14:textId="13DE701D" w:rsidR="00334168" w:rsidRPr="00E370E9" w:rsidRDefault="00334168" w:rsidP="00212B32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>Lamy B. La rhetorique, ou L'art de parler. – Paris: Aumont, 1757. – 579 p.</w:t>
      </w:r>
    </w:p>
    <w:p w14:paraId="7C8A336B" w14:textId="5970DB5D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Prat M.-H. L’apostrophe dans Les Fleurs du mal // L’information grammaticale.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>1989. №40. P. 18-22. URL: https://www.persee.fr/doc/igram_0222-9838_1989_num_40_1_2015?q=apostrophe</w:t>
      </w:r>
    </w:p>
    <w:p w14:paraId="5CE38D00" w14:textId="62958F08" w:rsidR="00334168" w:rsidRPr="00E370E9" w:rsidRDefault="00334168" w:rsidP="00212B32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>Riegel M., Rioul R., Pellat J-C. Grammaire méthodique du français. – Paris: PUF, 1994. – 1107 p.</w:t>
      </w:r>
    </w:p>
    <w:p w14:paraId="20A52007" w14:textId="08F7C975" w:rsidR="00334168" w:rsidRPr="00E370E9" w:rsidRDefault="00334168" w:rsidP="0021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Rossi N., Calas F. Éléments de réflexion pour l'analyse des segments autonomes sans verbe dans la scène 4 de l'acte IV du Misanthrope de Molière // L’information grammaticale.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>2000. №84. P. 41-45. URL: https://www.persee.fr/doc/igram_0222-9838_2000_num_84_1_2783?q=apostrophe</w:t>
      </w:r>
    </w:p>
    <w:p w14:paraId="79CA7D03" w14:textId="04186B29" w:rsidR="00334168" w:rsidRPr="00E370E9" w:rsidRDefault="00334168" w:rsidP="00212B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0E9">
        <w:rPr>
          <w:rFonts w:ascii="Times New Roman" w:hAnsi="Times New Roman" w:cs="Times New Roman"/>
          <w:sz w:val="24"/>
          <w:szCs w:val="24"/>
          <w:lang w:val="fr-FR"/>
        </w:rPr>
        <w:t xml:space="preserve">Torterat F. L'apostrophe désignative, en termes de prédication seconde // Représentations du sens linguistique III. 2009. </w:t>
      </w:r>
      <w:r w:rsidRPr="00E370E9">
        <w:rPr>
          <w:rFonts w:ascii="Times New Roman" w:hAnsi="Times New Roman" w:cs="Times New Roman"/>
          <w:sz w:val="24"/>
          <w:szCs w:val="24"/>
          <w:lang w:val="en-US"/>
        </w:rPr>
        <w:t xml:space="preserve">P. 121-131. URL: https://www.cairn.info/representations-du-sens-linguistique-III--9782801116043-page-121.htm?contenu=plan </w:t>
      </w:r>
    </w:p>
    <w:p w14:paraId="04712867" w14:textId="77777777" w:rsidR="00334168" w:rsidRPr="00334168" w:rsidRDefault="00334168" w:rsidP="00334168">
      <w:pPr>
        <w:pStyle w:val="a7"/>
        <w:tabs>
          <w:tab w:val="left" w:pos="154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4168" w:rsidRPr="0033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C39"/>
    <w:multiLevelType w:val="hybridMultilevel"/>
    <w:tmpl w:val="A418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C66D5"/>
    <w:multiLevelType w:val="hybridMultilevel"/>
    <w:tmpl w:val="5E7AF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231C"/>
    <w:multiLevelType w:val="hybridMultilevel"/>
    <w:tmpl w:val="5E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70993">
    <w:abstractNumId w:val="0"/>
  </w:num>
  <w:num w:numId="2" w16cid:durableId="375013824">
    <w:abstractNumId w:val="2"/>
  </w:num>
  <w:num w:numId="3" w16cid:durableId="91489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23"/>
    <w:rsid w:val="00024177"/>
    <w:rsid w:val="000A5803"/>
    <w:rsid w:val="000C2E2A"/>
    <w:rsid w:val="000D27D7"/>
    <w:rsid w:val="001376F9"/>
    <w:rsid w:val="00171809"/>
    <w:rsid w:val="00190262"/>
    <w:rsid w:val="00212B32"/>
    <w:rsid w:val="0027123E"/>
    <w:rsid w:val="002D2218"/>
    <w:rsid w:val="00315850"/>
    <w:rsid w:val="00332174"/>
    <w:rsid w:val="00334168"/>
    <w:rsid w:val="0043142C"/>
    <w:rsid w:val="0043781A"/>
    <w:rsid w:val="004617C4"/>
    <w:rsid w:val="004637D7"/>
    <w:rsid w:val="005326B7"/>
    <w:rsid w:val="00545087"/>
    <w:rsid w:val="005D647C"/>
    <w:rsid w:val="005F2A03"/>
    <w:rsid w:val="006F1A09"/>
    <w:rsid w:val="007153ED"/>
    <w:rsid w:val="007F32AB"/>
    <w:rsid w:val="00807A62"/>
    <w:rsid w:val="008467EF"/>
    <w:rsid w:val="008877EA"/>
    <w:rsid w:val="008E4F22"/>
    <w:rsid w:val="009105E0"/>
    <w:rsid w:val="00952B04"/>
    <w:rsid w:val="00952DC9"/>
    <w:rsid w:val="009802D3"/>
    <w:rsid w:val="00A61746"/>
    <w:rsid w:val="00A62602"/>
    <w:rsid w:val="00B8610B"/>
    <w:rsid w:val="00BB07FE"/>
    <w:rsid w:val="00C17E6C"/>
    <w:rsid w:val="00C32A25"/>
    <w:rsid w:val="00D660D9"/>
    <w:rsid w:val="00DF39C6"/>
    <w:rsid w:val="00DF68AD"/>
    <w:rsid w:val="00E215AE"/>
    <w:rsid w:val="00E301F1"/>
    <w:rsid w:val="00E370E9"/>
    <w:rsid w:val="00E464FF"/>
    <w:rsid w:val="00E8710D"/>
    <w:rsid w:val="00EA1CAD"/>
    <w:rsid w:val="00EB62E5"/>
    <w:rsid w:val="00ED0423"/>
    <w:rsid w:val="00EE4EB3"/>
    <w:rsid w:val="00F33E39"/>
    <w:rsid w:val="00F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0FDE"/>
  <w15:chartTrackingRefBased/>
  <w15:docId w15:val="{D3C96E43-5A10-4665-8936-3175381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0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0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4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04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0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0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0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0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0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0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0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0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04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0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04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0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611BA-3C44-4F6C-8D78-E79FCCF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765</Words>
  <Characters>5585</Characters>
  <Application>Microsoft Office Word</Application>
  <DocSecurity>0</DocSecurity>
  <Lines>91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Иван Николаевич</dc:creator>
  <cp:keywords/>
  <dc:description/>
  <cp:lastModifiedBy>Шитов Иван Николаевич</cp:lastModifiedBy>
  <cp:revision>23</cp:revision>
  <dcterms:created xsi:type="dcterms:W3CDTF">2024-02-07T20:51:00Z</dcterms:created>
  <dcterms:modified xsi:type="dcterms:W3CDTF">2024-02-16T13:27:00Z</dcterms:modified>
</cp:coreProperties>
</file>