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Актуальность и новизна темы не вызывают сомнения, так как проблемы прагматики и речевого воздействия в настоящее время не теряют своей важности,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рекламный дискурс – одна из значимых сфер коммуникации. Выбранный для работы материал  фрагменты интернет-рекламы, посвящённые ЗОЖ, ранее никем не был описан. Основными методами исследования стали описательный метод, метод контекстуального анализа, метод лингвосмыслового анализа, сравнительный метод. Цель исследования в определении специфики средств манипулятивного речевого воздействия в рекламе интернет-платформ, посвящённых ЗОЖ.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Интернет-реклама ЗОЖ — разновидность рекламы, направленная на продвижение определённых инфопродуктов или услуг, ставящая задачу сформировать у адресата убеждение в необходимости приобретения продуктА или воспользоваться услугами конкретного лица. 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Здоровый образ жизни, увлечение магией и эзотерикой становятся трендами современного общества. Зафиксировано, что во время эпидемии COVID-19 и после неё, с началом СВО манипулировать сознанием стало гораздо проще в силу страха неизвестности за будущее. Значимой проблемой большей части населения является неумение и нежелание самостоятельно разобраться в материале, поразмышлять о компетенции эксперта — вера в наукообразность.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интернет-рекламы в сфере ЗОЖ характерны специфические особенности способов и приёмов речевого воздействия, манипулятивных тактик. Для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анализа материала используется обширная классификация, представленная в учебном пособии Л.В. Балахонской и Е.В. Сергеевой [Балахонская, Сергеева, 2019 : 94-148]. Среди способов речевого воздействия наиболее эффективным в конкретном случае является способ убеждения (например,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Трансформируют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перерабатывают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деструктивные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паттерны и мыслеформы. С таким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чудо-эффектом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я не встречалась ни в одной практике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), среди приёмов — пробуждение чувства к себе или кому-либо другому (например,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Програма довольно вкусна и сытна. Обещаю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u w:val="single"/>
          <w:rtl w:val="0"/>
        </w:rPr>
        <w:t xml:space="preserve">голодными вы не будете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!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 Сочетание эмоциональной и рациональной аргументации делает манипулятивное воздействие рекламного сообщения более эффективным [Ву Хонг Нгок, Сергеева, 2021 : 71] (например,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Такой шанс может быть всего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1 раз в жизни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ровно через 1 час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ты его упустишь.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8 из 10 мест заняли.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Для записи на разбор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жми на кнопку ниже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отвечай 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3 простых вопроса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я или моя команда свяжемся с тобой!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Установлено, что самым частотным способом подачи информации на интернет-платформах личностного роста является использование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сенсационных» высказываний, привлекающих внимание к содержанию рекламных текстов (например,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highlight w:val="white"/>
          <w:u w:val="single"/>
          <w:rtl w:val="0"/>
        </w:rPr>
        <w:t xml:space="preserve">Тотальное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highlight w:val="white"/>
          <w:rtl w:val="0"/>
        </w:rPr>
        <w:t xml:space="preserve"> омоложение лица»,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Как уменьшить целлюлит и скорректировать кoнтypы тeлa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u w:val="single"/>
          <w:rtl w:val="0"/>
        </w:rPr>
        <w:t xml:space="preserve">быстро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u w:val="single"/>
          <w:rtl w:val="0"/>
        </w:rPr>
        <w:t xml:space="preserve">эффективно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highlight w:val="white"/>
          <w:rtl w:val="0"/>
        </w:rPr>
        <w:t xml:space="preserve">»). Технические моменты оформления текста также усиливают манипулятивный характер воздействия: увеличение жирности, размера, цвета шрифта; способ оформления фрагмента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например,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«Деньги дарят роскошь не думать о деньгах»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 Манипулятивное речевое воздействие в конкретном случае направлено прежде всего на манипуляцию потребностью быть привлекательной, красивой и здоровой (например,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Женщина становится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БОГИНЕЙ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когда принимает свою женственность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Литература: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Балахонская Л.В. Лингвистика речевого воздействия и манипулирования : учеб. пособие / Л.В. Балахонская, Е.В. Сергеева. — 5-е изд., стер. — М. : ФЛИНТА, 2020. — 352 с.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Сергеева Е.В., Ву Хонг Нгок. Особенности речевого воздействия в интернет-рекламе образовательных услуг // Медиалингвистика. 2021. № 8 (1). С. 71–82.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