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2C" w:rsidRDefault="00DE0165" w:rsidP="001451A0">
      <w:pPr>
        <w:spacing w:after="0" w:line="240" w:lineRule="auto"/>
        <w:jc w:val="center"/>
        <w:rPr>
          <w:rFonts w:ascii="Times New Roman" w:hAnsi="Times New Roman" w:cs="Times New Roman"/>
          <w:b/>
          <w:sz w:val="24"/>
          <w:szCs w:val="24"/>
        </w:rPr>
      </w:pPr>
      <w:bookmarkStart w:id="0" w:name="_GoBack"/>
      <w:r w:rsidRPr="00DE0165">
        <w:rPr>
          <w:rFonts w:ascii="Times New Roman" w:hAnsi="Times New Roman" w:cs="Times New Roman"/>
          <w:b/>
          <w:sz w:val="24"/>
          <w:szCs w:val="24"/>
        </w:rPr>
        <w:t>Формирование образа России в американской прессе в период неопределенности (1990-1991 гг.)</w:t>
      </w:r>
    </w:p>
    <w:p w:rsidR="00DE0165" w:rsidRDefault="00DE0165" w:rsidP="001451A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Дагаева К.И.</w:t>
      </w:r>
    </w:p>
    <w:p w:rsidR="00DE0165" w:rsidRDefault="00DE0165" w:rsidP="001451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аспирант</w:t>
      </w:r>
    </w:p>
    <w:p w:rsidR="00DE0165" w:rsidRDefault="00DE0165" w:rsidP="001451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Московский педагогический университет, </w:t>
      </w:r>
      <w:r w:rsidRPr="00DE0165">
        <w:rPr>
          <w:rFonts w:ascii="Times New Roman" w:hAnsi="Times New Roman" w:cs="Times New Roman"/>
          <w:sz w:val="24"/>
          <w:szCs w:val="24"/>
        </w:rPr>
        <w:t>Институт журналистики, коммуникаций и медиаобразования</w:t>
      </w:r>
      <w:r>
        <w:rPr>
          <w:rFonts w:ascii="Times New Roman" w:hAnsi="Times New Roman" w:cs="Times New Roman"/>
          <w:sz w:val="24"/>
          <w:szCs w:val="24"/>
        </w:rPr>
        <w:t>, Москва, Российская Федерация</w:t>
      </w:r>
    </w:p>
    <w:p w:rsidR="00DE0165" w:rsidRDefault="00DE0165" w:rsidP="001451A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e</w:t>
      </w:r>
      <w:r w:rsidRPr="00DE0165">
        <w:rPr>
          <w:rFonts w:ascii="Times New Roman" w:hAnsi="Times New Roman" w:cs="Times New Roman"/>
          <w:sz w:val="24"/>
          <w:szCs w:val="24"/>
        </w:rPr>
        <w:t>-</w:t>
      </w:r>
      <w:r>
        <w:rPr>
          <w:rFonts w:ascii="Times New Roman" w:hAnsi="Times New Roman" w:cs="Times New Roman"/>
          <w:sz w:val="24"/>
          <w:szCs w:val="24"/>
          <w:lang w:val="en-US"/>
        </w:rPr>
        <w:t>mail</w:t>
      </w:r>
      <w:r w:rsidRPr="00DE0165">
        <w:rPr>
          <w:rFonts w:ascii="Times New Roman" w:hAnsi="Times New Roman" w:cs="Times New Roman"/>
          <w:sz w:val="24"/>
          <w:szCs w:val="24"/>
        </w:rPr>
        <w:t>:dagaevakira@yandex.ru</w:t>
      </w:r>
    </w:p>
    <w:p w:rsidR="00DE0165" w:rsidRDefault="00DE0165" w:rsidP="001451A0">
      <w:pPr>
        <w:spacing w:after="0" w:line="240" w:lineRule="auto"/>
        <w:ind w:firstLine="426"/>
        <w:jc w:val="both"/>
        <w:rPr>
          <w:rFonts w:ascii="Times New Roman" w:hAnsi="Times New Roman" w:cs="Times New Roman"/>
          <w:sz w:val="24"/>
          <w:szCs w:val="24"/>
        </w:rPr>
      </w:pPr>
    </w:p>
    <w:p w:rsidR="00CD22B6" w:rsidRDefault="00CD22B6" w:rsidP="001451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условиях высокого уровня напряженности геополитической обстановки, перманентного состояния «мира, который не есть мир»</w:t>
      </w:r>
      <w:r w:rsidR="001451A0">
        <w:rPr>
          <w:rFonts w:ascii="Times New Roman" w:hAnsi="Times New Roman" w:cs="Times New Roman"/>
          <w:sz w:val="24"/>
          <w:szCs w:val="24"/>
        </w:rPr>
        <w:t xml:space="preserve"> </w:t>
      </w:r>
      <w:r w:rsidR="001451A0" w:rsidRPr="001451A0">
        <w:rPr>
          <w:rFonts w:ascii="Times New Roman" w:hAnsi="Times New Roman" w:cs="Times New Roman"/>
          <w:sz w:val="24"/>
          <w:szCs w:val="24"/>
        </w:rPr>
        <w:t>[1]</w:t>
      </w:r>
      <w:r>
        <w:rPr>
          <w:rFonts w:ascii="Times New Roman" w:hAnsi="Times New Roman" w:cs="Times New Roman"/>
          <w:sz w:val="24"/>
          <w:szCs w:val="24"/>
        </w:rPr>
        <w:t xml:space="preserve">, возобновлении риторики холодной войны и «островизации» международных отношений, </w:t>
      </w:r>
      <w:r w:rsidRPr="00CD22B6">
        <w:rPr>
          <w:rFonts w:ascii="Times New Roman" w:hAnsi="Times New Roman" w:cs="Times New Roman"/>
          <w:sz w:val="24"/>
          <w:szCs w:val="24"/>
        </w:rPr>
        <w:t>в медийном дискурсе на первый план выходит необходимость выработки алгоритмов по уходу от эскалации конфликтов</w:t>
      </w:r>
      <w:r>
        <w:rPr>
          <w:rFonts w:ascii="Times New Roman" w:hAnsi="Times New Roman" w:cs="Times New Roman"/>
          <w:sz w:val="24"/>
          <w:szCs w:val="24"/>
        </w:rPr>
        <w:t xml:space="preserve"> и максимально объективного отражения действительности. </w:t>
      </w:r>
      <w:r w:rsidRPr="00CD22B6">
        <w:rPr>
          <w:rFonts w:ascii="Times New Roman" w:hAnsi="Times New Roman" w:cs="Times New Roman"/>
          <w:sz w:val="24"/>
          <w:szCs w:val="24"/>
        </w:rPr>
        <w:t>В связи с этим особое значение приобретают исследования</w:t>
      </w:r>
      <w:r>
        <w:rPr>
          <w:rFonts w:ascii="Times New Roman" w:hAnsi="Times New Roman" w:cs="Times New Roman"/>
          <w:sz w:val="24"/>
          <w:szCs w:val="24"/>
        </w:rPr>
        <w:t xml:space="preserve">, направленные на изучение </w:t>
      </w:r>
      <w:r w:rsidRPr="00CD22B6">
        <w:rPr>
          <w:rFonts w:ascii="Times New Roman" w:hAnsi="Times New Roman" w:cs="Times New Roman"/>
          <w:sz w:val="24"/>
          <w:szCs w:val="24"/>
        </w:rPr>
        <w:t>особенностей формирования образа и имиджа нашей страны в</w:t>
      </w:r>
      <w:r>
        <w:rPr>
          <w:rFonts w:ascii="Times New Roman" w:hAnsi="Times New Roman" w:cs="Times New Roman"/>
          <w:sz w:val="24"/>
          <w:szCs w:val="24"/>
        </w:rPr>
        <w:t xml:space="preserve"> зарубежных средствах массовой информации. </w:t>
      </w:r>
      <w:r w:rsidRPr="00CD22B6">
        <w:rPr>
          <w:rFonts w:ascii="Times New Roman" w:hAnsi="Times New Roman" w:cs="Times New Roman"/>
          <w:sz w:val="24"/>
          <w:szCs w:val="24"/>
        </w:rPr>
        <w:t>Тщательный анализ американской публицистики позволит приблизиться к пониманию истоков ряда трений и проблем в отношениях между нашими странами.</w:t>
      </w:r>
      <w:r>
        <w:rPr>
          <w:rFonts w:ascii="Times New Roman" w:hAnsi="Times New Roman" w:cs="Times New Roman"/>
          <w:sz w:val="24"/>
          <w:szCs w:val="24"/>
        </w:rPr>
        <w:t xml:space="preserve"> </w:t>
      </w:r>
      <w:r w:rsidRPr="00CD22B6">
        <w:rPr>
          <w:rFonts w:ascii="Times New Roman" w:hAnsi="Times New Roman" w:cs="Times New Roman"/>
          <w:sz w:val="24"/>
          <w:szCs w:val="24"/>
        </w:rPr>
        <w:t>Следует учитывать, что наследие Холодной войны продолжает формировать алгоритмы взаимодействия между</w:t>
      </w:r>
      <w:r>
        <w:rPr>
          <w:rFonts w:ascii="Times New Roman" w:hAnsi="Times New Roman" w:cs="Times New Roman"/>
          <w:sz w:val="24"/>
          <w:szCs w:val="24"/>
        </w:rPr>
        <w:t xml:space="preserve"> крупнейшими мировыми державами.</w:t>
      </w:r>
    </w:p>
    <w:p w:rsidR="00960FB6" w:rsidRDefault="004045A5" w:rsidP="001451A0">
      <w:pPr>
        <w:spacing w:after="0" w:line="240" w:lineRule="auto"/>
        <w:ind w:firstLine="426"/>
        <w:jc w:val="both"/>
        <w:rPr>
          <w:rFonts w:ascii="Times New Roman" w:hAnsi="Times New Roman" w:cs="Times New Roman"/>
          <w:sz w:val="24"/>
          <w:szCs w:val="24"/>
        </w:rPr>
      </w:pPr>
      <w:r w:rsidRPr="00A03D07">
        <w:rPr>
          <w:rFonts w:ascii="Times New Roman" w:hAnsi="Times New Roman" w:cs="Times New Roman"/>
          <w:i/>
          <w:sz w:val="24"/>
          <w:szCs w:val="24"/>
        </w:rPr>
        <w:t>Материалы и методы.</w:t>
      </w:r>
      <w:r>
        <w:rPr>
          <w:rFonts w:ascii="Times New Roman" w:hAnsi="Times New Roman" w:cs="Times New Roman"/>
          <w:sz w:val="24"/>
          <w:szCs w:val="24"/>
        </w:rPr>
        <w:t xml:space="preserve"> </w:t>
      </w:r>
      <w:r w:rsidRPr="004045A5">
        <w:rPr>
          <w:rFonts w:ascii="Times New Roman" w:hAnsi="Times New Roman" w:cs="Times New Roman"/>
          <w:sz w:val="24"/>
          <w:szCs w:val="24"/>
        </w:rPr>
        <w:t>Эмпирический материал представлен 118 статьями либерально</w:t>
      </w:r>
      <w:r>
        <w:rPr>
          <w:rFonts w:ascii="Times New Roman" w:hAnsi="Times New Roman" w:cs="Times New Roman"/>
          <w:sz w:val="24"/>
          <w:szCs w:val="24"/>
        </w:rPr>
        <w:t>го еженедельного журнала «Time». Хронологические рамки: январь 1990-декабрь 1991 г. Автор проводит контент-анализ эмпирического материала, основываясь на частотном анализе лексем. В качестве опорных ключевых слов используются: «</w:t>
      </w:r>
      <w:r>
        <w:rPr>
          <w:rFonts w:ascii="Times New Roman" w:hAnsi="Times New Roman" w:cs="Times New Roman"/>
          <w:sz w:val="24"/>
          <w:szCs w:val="24"/>
          <w:lang w:val="en-US"/>
        </w:rPr>
        <w:t>Moscow</w:t>
      </w:r>
      <w:r>
        <w:rPr>
          <w:rFonts w:ascii="Times New Roman" w:hAnsi="Times New Roman" w:cs="Times New Roman"/>
          <w:sz w:val="24"/>
          <w:szCs w:val="24"/>
        </w:rPr>
        <w:t>», «</w:t>
      </w:r>
      <w:r>
        <w:rPr>
          <w:rFonts w:ascii="Times New Roman" w:hAnsi="Times New Roman" w:cs="Times New Roman"/>
          <w:sz w:val="24"/>
          <w:szCs w:val="24"/>
          <w:lang w:val="en-US"/>
        </w:rPr>
        <w:t>Russia</w:t>
      </w:r>
      <w:r>
        <w:rPr>
          <w:rFonts w:ascii="Times New Roman" w:hAnsi="Times New Roman" w:cs="Times New Roman"/>
          <w:sz w:val="24"/>
          <w:szCs w:val="24"/>
        </w:rPr>
        <w:t>», «</w:t>
      </w:r>
      <w:r>
        <w:rPr>
          <w:rFonts w:ascii="Times New Roman" w:hAnsi="Times New Roman" w:cs="Times New Roman"/>
          <w:sz w:val="24"/>
          <w:szCs w:val="24"/>
          <w:lang w:val="en-US"/>
        </w:rPr>
        <w:t>Kremlin</w:t>
      </w:r>
      <w:r>
        <w:rPr>
          <w:rFonts w:ascii="Times New Roman" w:hAnsi="Times New Roman" w:cs="Times New Roman"/>
          <w:sz w:val="24"/>
          <w:szCs w:val="24"/>
        </w:rPr>
        <w:t>», «</w:t>
      </w:r>
      <w:r>
        <w:rPr>
          <w:rFonts w:ascii="Times New Roman" w:hAnsi="Times New Roman" w:cs="Times New Roman"/>
          <w:sz w:val="24"/>
          <w:szCs w:val="24"/>
          <w:lang w:val="en-US"/>
        </w:rPr>
        <w:t>USSR</w:t>
      </w:r>
      <w:r>
        <w:rPr>
          <w:rFonts w:ascii="Times New Roman" w:hAnsi="Times New Roman" w:cs="Times New Roman"/>
          <w:sz w:val="24"/>
          <w:szCs w:val="24"/>
        </w:rPr>
        <w:t>»</w:t>
      </w:r>
      <w:r w:rsidRPr="004045A5">
        <w:rPr>
          <w:rFonts w:ascii="Times New Roman" w:hAnsi="Times New Roman" w:cs="Times New Roman"/>
          <w:sz w:val="24"/>
          <w:szCs w:val="24"/>
        </w:rPr>
        <w:t>,</w:t>
      </w:r>
      <w:r>
        <w:rPr>
          <w:rFonts w:ascii="Times New Roman" w:hAnsi="Times New Roman" w:cs="Times New Roman"/>
          <w:sz w:val="24"/>
          <w:szCs w:val="24"/>
        </w:rPr>
        <w:t xml:space="preserve"> «Eltsin», «</w:t>
      </w:r>
      <w:r>
        <w:rPr>
          <w:rFonts w:ascii="Times New Roman" w:hAnsi="Times New Roman" w:cs="Times New Roman"/>
          <w:sz w:val="24"/>
          <w:szCs w:val="24"/>
          <w:lang w:val="en-US"/>
        </w:rPr>
        <w:t>Gorbachev</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russian</w:t>
      </w:r>
      <w:r>
        <w:rPr>
          <w:rFonts w:ascii="Times New Roman" w:hAnsi="Times New Roman" w:cs="Times New Roman"/>
          <w:sz w:val="24"/>
          <w:szCs w:val="24"/>
        </w:rPr>
        <w:t>»</w:t>
      </w:r>
      <w:r w:rsidRPr="004045A5">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communist</w:t>
      </w:r>
      <w:r>
        <w:rPr>
          <w:rFonts w:ascii="Times New Roman" w:hAnsi="Times New Roman" w:cs="Times New Roman"/>
          <w:sz w:val="24"/>
          <w:szCs w:val="24"/>
        </w:rPr>
        <w:t>»</w:t>
      </w:r>
      <w:r w:rsidRPr="004045A5">
        <w:rPr>
          <w:rFonts w:ascii="Times New Roman" w:hAnsi="Times New Roman" w:cs="Times New Roman"/>
          <w:sz w:val="24"/>
          <w:szCs w:val="24"/>
        </w:rPr>
        <w:t>.</w:t>
      </w:r>
      <w:r>
        <w:rPr>
          <w:rFonts w:ascii="Times New Roman" w:hAnsi="Times New Roman" w:cs="Times New Roman"/>
          <w:sz w:val="24"/>
          <w:szCs w:val="24"/>
        </w:rPr>
        <w:t xml:space="preserve"> Полученные результаты интерпретируются через п</w:t>
      </w:r>
      <w:r w:rsidR="00960FB6">
        <w:rPr>
          <w:rFonts w:ascii="Times New Roman" w:hAnsi="Times New Roman" w:cs="Times New Roman"/>
          <w:sz w:val="24"/>
          <w:szCs w:val="24"/>
        </w:rPr>
        <w:t xml:space="preserve">ризму имагологического подхода, направленного на беспристрастный историко-культурологический анализ особенностей формирования образов государств и их жителей в инокультуре, что позволяет </w:t>
      </w:r>
      <w:r w:rsidR="00960FB6" w:rsidRPr="00960FB6">
        <w:rPr>
          <w:rFonts w:ascii="Times New Roman" w:hAnsi="Times New Roman" w:cs="Times New Roman"/>
          <w:sz w:val="24"/>
          <w:szCs w:val="24"/>
        </w:rPr>
        <w:t xml:space="preserve">рассмотреть альтернативные точки зрения на исследуемую проблему, </w:t>
      </w:r>
      <w:r w:rsidR="00960FB6">
        <w:rPr>
          <w:rFonts w:ascii="Times New Roman" w:hAnsi="Times New Roman" w:cs="Times New Roman"/>
          <w:sz w:val="24"/>
          <w:szCs w:val="24"/>
        </w:rPr>
        <w:t xml:space="preserve">не </w:t>
      </w:r>
      <w:r w:rsidR="00960FB6" w:rsidRPr="00960FB6">
        <w:rPr>
          <w:rFonts w:ascii="Times New Roman" w:hAnsi="Times New Roman" w:cs="Times New Roman"/>
          <w:sz w:val="24"/>
          <w:szCs w:val="24"/>
        </w:rPr>
        <w:t>приводя</w:t>
      </w:r>
      <w:r w:rsidR="00960FB6">
        <w:rPr>
          <w:rFonts w:ascii="Times New Roman" w:hAnsi="Times New Roman" w:cs="Times New Roman"/>
          <w:sz w:val="24"/>
          <w:szCs w:val="24"/>
        </w:rPr>
        <w:t xml:space="preserve"> их</w:t>
      </w:r>
      <w:r w:rsidR="00960FB6" w:rsidRPr="00960FB6">
        <w:rPr>
          <w:rFonts w:ascii="Times New Roman" w:hAnsi="Times New Roman" w:cs="Times New Roman"/>
          <w:sz w:val="24"/>
          <w:szCs w:val="24"/>
        </w:rPr>
        <w:t xml:space="preserve"> к «интеллектуальной поляризации»</w:t>
      </w:r>
      <w:r w:rsidR="001451A0" w:rsidRPr="001451A0">
        <w:rPr>
          <w:rFonts w:ascii="Times New Roman" w:hAnsi="Times New Roman" w:cs="Times New Roman"/>
          <w:sz w:val="24"/>
          <w:szCs w:val="24"/>
        </w:rPr>
        <w:t xml:space="preserve"> [2]</w:t>
      </w:r>
      <w:r w:rsidR="00960FB6">
        <w:rPr>
          <w:rFonts w:ascii="Times New Roman" w:hAnsi="Times New Roman" w:cs="Times New Roman"/>
          <w:sz w:val="24"/>
          <w:szCs w:val="24"/>
        </w:rPr>
        <w:t xml:space="preserve">. Ключевое значение для формирования теоретической базы данного исследования имеют труды В.И. Журавлёвой, Е.А. Котеленец, М.С. Ковригиной, Н.П. Михальской, А.Р. Ощепкова, </w:t>
      </w:r>
      <w:r w:rsidR="00A03D07">
        <w:rPr>
          <w:rFonts w:ascii="Times New Roman" w:hAnsi="Times New Roman" w:cs="Times New Roman"/>
          <w:sz w:val="24"/>
          <w:szCs w:val="24"/>
        </w:rPr>
        <w:t>П. </w:t>
      </w:r>
      <w:r w:rsidR="00960FB6" w:rsidRPr="00960FB6">
        <w:rPr>
          <w:rFonts w:ascii="Times New Roman" w:hAnsi="Times New Roman" w:cs="Times New Roman"/>
          <w:sz w:val="24"/>
          <w:szCs w:val="24"/>
        </w:rPr>
        <w:t>Журд</w:t>
      </w:r>
      <w:r w:rsidR="00960FB6">
        <w:rPr>
          <w:rFonts w:ascii="Times New Roman" w:hAnsi="Times New Roman" w:cs="Times New Roman"/>
          <w:sz w:val="24"/>
          <w:szCs w:val="24"/>
        </w:rPr>
        <w:t>ы,</w:t>
      </w:r>
      <w:r w:rsidR="00A03D07">
        <w:rPr>
          <w:rFonts w:ascii="Times New Roman" w:hAnsi="Times New Roman" w:cs="Times New Roman"/>
          <w:sz w:val="24"/>
          <w:szCs w:val="24"/>
        </w:rPr>
        <w:t xml:space="preserve"> Ж.М. Карре Ф.М. </w:t>
      </w:r>
      <w:r w:rsidR="00960FB6" w:rsidRPr="00960FB6">
        <w:rPr>
          <w:rFonts w:ascii="Times New Roman" w:hAnsi="Times New Roman" w:cs="Times New Roman"/>
          <w:sz w:val="24"/>
          <w:szCs w:val="24"/>
        </w:rPr>
        <w:t>Гийяр</w:t>
      </w:r>
      <w:r w:rsidR="00960FB6">
        <w:rPr>
          <w:rFonts w:ascii="Times New Roman" w:hAnsi="Times New Roman" w:cs="Times New Roman"/>
          <w:sz w:val="24"/>
          <w:szCs w:val="24"/>
        </w:rPr>
        <w:t>а,</w:t>
      </w:r>
      <w:r w:rsidR="00A03D07">
        <w:rPr>
          <w:rFonts w:ascii="Times New Roman" w:hAnsi="Times New Roman" w:cs="Times New Roman"/>
          <w:sz w:val="24"/>
          <w:szCs w:val="24"/>
        </w:rPr>
        <w:t xml:space="preserve"> А. </w:t>
      </w:r>
      <w:r w:rsidR="00960FB6" w:rsidRPr="00960FB6">
        <w:rPr>
          <w:rFonts w:ascii="Times New Roman" w:hAnsi="Times New Roman" w:cs="Times New Roman"/>
          <w:sz w:val="24"/>
          <w:szCs w:val="24"/>
        </w:rPr>
        <w:t>Лортолари</w:t>
      </w:r>
      <w:r w:rsidR="00960FB6">
        <w:rPr>
          <w:rFonts w:ascii="Times New Roman" w:hAnsi="Times New Roman" w:cs="Times New Roman"/>
          <w:sz w:val="24"/>
          <w:szCs w:val="24"/>
        </w:rPr>
        <w:t>,</w:t>
      </w:r>
      <w:r w:rsidR="00A03D07">
        <w:rPr>
          <w:rFonts w:ascii="Times New Roman" w:hAnsi="Times New Roman" w:cs="Times New Roman"/>
          <w:sz w:val="24"/>
          <w:szCs w:val="24"/>
        </w:rPr>
        <w:t xml:space="preserve"> Б. </w:t>
      </w:r>
      <w:r w:rsidR="00960FB6" w:rsidRPr="00960FB6">
        <w:rPr>
          <w:rFonts w:ascii="Times New Roman" w:hAnsi="Times New Roman" w:cs="Times New Roman"/>
          <w:sz w:val="24"/>
          <w:szCs w:val="24"/>
        </w:rPr>
        <w:t>Андерсон</w:t>
      </w:r>
      <w:r w:rsidR="00960FB6">
        <w:rPr>
          <w:rFonts w:ascii="Times New Roman" w:hAnsi="Times New Roman" w:cs="Times New Roman"/>
          <w:sz w:val="24"/>
          <w:szCs w:val="24"/>
        </w:rPr>
        <w:t>а,</w:t>
      </w:r>
      <w:r w:rsidR="00A03D07">
        <w:rPr>
          <w:rFonts w:ascii="Times New Roman" w:hAnsi="Times New Roman" w:cs="Times New Roman"/>
          <w:sz w:val="24"/>
          <w:szCs w:val="24"/>
        </w:rPr>
        <w:t xml:space="preserve"> К. </w:t>
      </w:r>
      <w:r w:rsidR="00960FB6" w:rsidRPr="00960FB6">
        <w:rPr>
          <w:rFonts w:ascii="Times New Roman" w:hAnsi="Times New Roman" w:cs="Times New Roman"/>
          <w:sz w:val="24"/>
          <w:szCs w:val="24"/>
        </w:rPr>
        <w:t>Гриц</w:t>
      </w:r>
      <w:r w:rsidR="00960FB6">
        <w:rPr>
          <w:rFonts w:ascii="Times New Roman" w:hAnsi="Times New Roman" w:cs="Times New Roman"/>
          <w:sz w:val="24"/>
          <w:szCs w:val="24"/>
        </w:rPr>
        <w:t>а и др.</w:t>
      </w:r>
    </w:p>
    <w:p w:rsidR="00945E06" w:rsidRPr="00867157" w:rsidRDefault="00A03D07" w:rsidP="001451A0">
      <w:pPr>
        <w:spacing w:after="0" w:line="240" w:lineRule="auto"/>
        <w:ind w:firstLine="426"/>
        <w:jc w:val="both"/>
        <w:rPr>
          <w:rFonts w:ascii="Times New Roman" w:hAnsi="Times New Roman" w:cs="Times New Roman"/>
          <w:sz w:val="24"/>
          <w:szCs w:val="24"/>
        </w:rPr>
      </w:pPr>
      <w:r w:rsidRPr="00A03D07">
        <w:rPr>
          <w:rFonts w:ascii="Times New Roman" w:hAnsi="Times New Roman" w:cs="Times New Roman"/>
          <w:i/>
          <w:sz w:val="24"/>
          <w:szCs w:val="24"/>
        </w:rPr>
        <w:t>Результаты</w:t>
      </w:r>
      <w:r>
        <w:rPr>
          <w:rFonts w:ascii="Times New Roman" w:hAnsi="Times New Roman" w:cs="Times New Roman"/>
          <w:sz w:val="24"/>
          <w:szCs w:val="24"/>
        </w:rPr>
        <w:t xml:space="preserve">. На основании частотного анализа были выявлены наиболее частотные лексемы: </w:t>
      </w:r>
      <w:r w:rsidRPr="00A03D07">
        <w:rPr>
          <w:rFonts w:ascii="Times New Roman" w:hAnsi="Times New Roman" w:cs="Times New Roman"/>
          <w:sz w:val="24"/>
          <w:szCs w:val="24"/>
        </w:rPr>
        <w:t>«русский», «Москва», «Советский Союз», «Кремль», «Горбачев», «Ельцин». Вторичная выборка, учитывающая коллокации указанных ключевых слов, позволила определить наиболее популярные темы, связанные с Россией, и распределить их в четыре условные категории. Первая включает в себя понятия и события, описывающие политические, экономические и военные события. Вторая описывает различные политические силы. Третья</w:t>
      </w:r>
      <w:r w:rsidR="00867157">
        <w:rPr>
          <w:rFonts w:ascii="Times New Roman" w:hAnsi="Times New Roman" w:cs="Times New Roman"/>
          <w:sz w:val="24"/>
          <w:szCs w:val="24"/>
        </w:rPr>
        <w:t xml:space="preserve"> </w:t>
      </w:r>
      <w:r w:rsidR="00867157" w:rsidRPr="00A03D07">
        <w:rPr>
          <w:rFonts w:ascii="Times New Roman" w:hAnsi="Times New Roman" w:cs="Times New Roman"/>
          <w:sz w:val="24"/>
          <w:szCs w:val="24"/>
        </w:rPr>
        <w:t xml:space="preserve">описывает лидеров государства – </w:t>
      </w:r>
      <w:r w:rsidR="00867157">
        <w:rPr>
          <w:rFonts w:ascii="Times New Roman" w:hAnsi="Times New Roman" w:cs="Times New Roman"/>
          <w:sz w:val="24"/>
          <w:szCs w:val="24"/>
        </w:rPr>
        <w:t>М. С. Горбачева и Б. Н. Ельцина</w:t>
      </w:r>
      <w:r w:rsidRPr="00A03D07">
        <w:rPr>
          <w:rFonts w:ascii="Times New Roman" w:hAnsi="Times New Roman" w:cs="Times New Roman"/>
          <w:sz w:val="24"/>
          <w:szCs w:val="24"/>
        </w:rPr>
        <w:t xml:space="preserve">. Четвертая </w:t>
      </w:r>
      <w:r w:rsidR="00867157" w:rsidRPr="00A03D07">
        <w:rPr>
          <w:rFonts w:ascii="Times New Roman" w:hAnsi="Times New Roman" w:cs="Times New Roman"/>
          <w:sz w:val="24"/>
          <w:szCs w:val="24"/>
        </w:rPr>
        <w:t>посвящена проблеме Августовского путча</w:t>
      </w:r>
      <w:r w:rsidR="00867157" w:rsidRPr="00867157">
        <w:rPr>
          <w:rFonts w:ascii="Times New Roman" w:hAnsi="Times New Roman" w:cs="Times New Roman"/>
          <w:sz w:val="24"/>
          <w:szCs w:val="24"/>
        </w:rPr>
        <w:t>.</w:t>
      </w:r>
    </w:p>
    <w:p w:rsidR="006762E1" w:rsidRDefault="001C0F14" w:rsidP="001451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первой группе, характеризующейся наиболее стабильной системой образов, не подверженной изменению в диахроническом аспекте, наиболее частотные коллокации представлены лексемами </w:t>
      </w:r>
      <w:r w:rsidRPr="001C0F14">
        <w:rPr>
          <w:rFonts w:ascii="Times New Roman" w:hAnsi="Times New Roman" w:cs="Times New Roman"/>
          <w:sz w:val="24"/>
          <w:szCs w:val="24"/>
        </w:rPr>
        <w:t>«реформы», «хаос», «коллапс», «санкции», «кризис», «помощь»</w:t>
      </w:r>
      <w:r>
        <w:rPr>
          <w:rFonts w:ascii="Times New Roman" w:hAnsi="Times New Roman" w:cs="Times New Roman"/>
          <w:sz w:val="24"/>
          <w:szCs w:val="24"/>
        </w:rPr>
        <w:t xml:space="preserve">. </w:t>
      </w:r>
    </w:p>
    <w:p w:rsidR="001C0F14" w:rsidRDefault="001C0F14" w:rsidP="001451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 второй группе, относящейся к категории «политика» прослеживается выделение двух актантов. Контекстуальных синонимов понятию «государство» и «политический деятель», выраженных лексемами </w:t>
      </w:r>
      <w:r w:rsidRPr="001C0F14">
        <w:rPr>
          <w:rFonts w:ascii="Times New Roman" w:hAnsi="Times New Roman" w:cs="Times New Roman"/>
          <w:sz w:val="24"/>
          <w:szCs w:val="24"/>
        </w:rPr>
        <w:t>«Советский Союз», «Кремль» и «Москва»</w:t>
      </w:r>
      <w:r>
        <w:rPr>
          <w:rFonts w:ascii="Times New Roman" w:hAnsi="Times New Roman" w:cs="Times New Roman"/>
          <w:sz w:val="24"/>
          <w:szCs w:val="24"/>
        </w:rPr>
        <w:t xml:space="preserve">, и группа, определяющая население страны, </w:t>
      </w:r>
      <w:r>
        <w:rPr>
          <w:rFonts w:ascii="Times New Roman" w:hAnsi="Times New Roman" w:cs="Times New Roman"/>
          <w:sz w:val="24"/>
          <w:szCs w:val="24"/>
        </w:rPr>
        <w:t>–</w:t>
      </w:r>
      <w:r>
        <w:rPr>
          <w:rFonts w:ascii="Times New Roman" w:hAnsi="Times New Roman" w:cs="Times New Roman"/>
          <w:sz w:val="24"/>
          <w:szCs w:val="24"/>
        </w:rPr>
        <w:t xml:space="preserve"> </w:t>
      </w:r>
      <w:r w:rsidRPr="001C0F14">
        <w:rPr>
          <w:rFonts w:ascii="Times New Roman" w:hAnsi="Times New Roman" w:cs="Times New Roman"/>
          <w:sz w:val="24"/>
          <w:szCs w:val="24"/>
        </w:rPr>
        <w:t>«люди», «русский»</w:t>
      </w:r>
      <w:r>
        <w:rPr>
          <w:rFonts w:ascii="Times New Roman" w:hAnsi="Times New Roman" w:cs="Times New Roman"/>
          <w:sz w:val="24"/>
          <w:szCs w:val="24"/>
        </w:rPr>
        <w:t xml:space="preserve">. </w:t>
      </w:r>
      <w:r w:rsidR="006762E1">
        <w:rPr>
          <w:rFonts w:ascii="Times New Roman" w:hAnsi="Times New Roman" w:cs="Times New Roman"/>
          <w:sz w:val="24"/>
          <w:szCs w:val="24"/>
        </w:rPr>
        <w:t xml:space="preserve">Для группы «государство» наиболее частотными являются коллокации </w:t>
      </w:r>
      <w:r w:rsidR="006762E1" w:rsidRPr="006762E1">
        <w:rPr>
          <w:rFonts w:ascii="Times New Roman" w:hAnsi="Times New Roman" w:cs="Times New Roman"/>
          <w:sz w:val="24"/>
          <w:szCs w:val="24"/>
        </w:rPr>
        <w:t xml:space="preserve">«тоталитарная империя», </w:t>
      </w:r>
      <w:r w:rsidR="004F6C14">
        <w:rPr>
          <w:rFonts w:ascii="Times New Roman" w:hAnsi="Times New Roman" w:cs="Times New Roman"/>
          <w:sz w:val="24"/>
          <w:szCs w:val="24"/>
        </w:rPr>
        <w:t xml:space="preserve">«бюрократия», и «сопротивление </w:t>
      </w:r>
      <w:r w:rsidR="004F6C14" w:rsidRPr="004F6C14">
        <w:rPr>
          <w:rFonts w:ascii="Times New Roman" w:hAnsi="Times New Roman" w:cs="Times New Roman"/>
          <w:sz w:val="24"/>
          <w:szCs w:val="24"/>
        </w:rPr>
        <w:t>[</w:t>
      </w:r>
      <w:r w:rsidR="004F6C14">
        <w:rPr>
          <w:rFonts w:ascii="Times New Roman" w:hAnsi="Times New Roman" w:cs="Times New Roman"/>
          <w:sz w:val="24"/>
          <w:szCs w:val="24"/>
        </w:rPr>
        <w:t>Москве]</w:t>
      </w:r>
      <w:r w:rsidR="006762E1" w:rsidRPr="006762E1">
        <w:rPr>
          <w:rFonts w:ascii="Times New Roman" w:hAnsi="Times New Roman" w:cs="Times New Roman"/>
          <w:sz w:val="24"/>
          <w:szCs w:val="24"/>
        </w:rPr>
        <w:t>»</w:t>
      </w:r>
      <w:r w:rsidR="006762E1">
        <w:rPr>
          <w:rFonts w:ascii="Times New Roman" w:hAnsi="Times New Roman" w:cs="Times New Roman"/>
          <w:sz w:val="24"/>
          <w:szCs w:val="24"/>
        </w:rPr>
        <w:t xml:space="preserve">. Также высока частотность у оборотов </w:t>
      </w:r>
      <w:r w:rsidR="006762E1" w:rsidRPr="006762E1">
        <w:rPr>
          <w:rFonts w:ascii="Times New Roman" w:hAnsi="Times New Roman" w:cs="Times New Roman"/>
          <w:sz w:val="24"/>
          <w:szCs w:val="24"/>
        </w:rPr>
        <w:t>«тоталитарный режим Москвы», «под давлением Москвы», «репрессии Москвы»</w:t>
      </w:r>
      <w:r w:rsidR="006762E1">
        <w:rPr>
          <w:rFonts w:ascii="Times New Roman" w:hAnsi="Times New Roman" w:cs="Times New Roman"/>
          <w:sz w:val="24"/>
          <w:szCs w:val="24"/>
        </w:rPr>
        <w:t xml:space="preserve">. Население страны, в свою </w:t>
      </w:r>
      <w:r w:rsidR="006762E1">
        <w:rPr>
          <w:rFonts w:ascii="Times New Roman" w:hAnsi="Times New Roman" w:cs="Times New Roman"/>
          <w:sz w:val="24"/>
          <w:szCs w:val="24"/>
        </w:rPr>
        <w:lastRenderedPageBreak/>
        <w:t xml:space="preserve">очередь, описывается с использованием частотных оборотов </w:t>
      </w:r>
      <w:r w:rsidR="006762E1" w:rsidRPr="006762E1">
        <w:rPr>
          <w:rFonts w:ascii="Times New Roman" w:hAnsi="Times New Roman" w:cs="Times New Roman"/>
          <w:sz w:val="24"/>
          <w:szCs w:val="24"/>
        </w:rPr>
        <w:t>«убиты», «ограблены», «боятся»</w:t>
      </w:r>
      <w:r w:rsidR="006762E1">
        <w:rPr>
          <w:rFonts w:ascii="Times New Roman" w:hAnsi="Times New Roman" w:cs="Times New Roman"/>
          <w:sz w:val="24"/>
          <w:szCs w:val="24"/>
        </w:rPr>
        <w:t>. Однако, данная категория подвержена изменениям в диахроническом аспекте. В 1991 году на первый план выходят такие обороты как «новые люди</w:t>
      </w:r>
      <w:r w:rsidR="006762E1" w:rsidRPr="006762E1">
        <w:rPr>
          <w:rFonts w:ascii="Times New Roman" w:hAnsi="Times New Roman" w:cs="Times New Roman"/>
          <w:sz w:val="24"/>
          <w:szCs w:val="24"/>
        </w:rPr>
        <w:t>»,</w:t>
      </w:r>
      <w:r w:rsidR="006762E1">
        <w:rPr>
          <w:rFonts w:ascii="Times New Roman" w:hAnsi="Times New Roman" w:cs="Times New Roman"/>
          <w:sz w:val="24"/>
          <w:szCs w:val="24"/>
        </w:rPr>
        <w:t xml:space="preserve"> «реформаторы», «голосования</w:t>
      </w:r>
      <w:r w:rsidR="006762E1" w:rsidRPr="006762E1">
        <w:rPr>
          <w:rFonts w:ascii="Times New Roman" w:hAnsi="Times New Roman" w:cs="Times New Roman"/>
          <w:sz w:val="24"/>
          <w:szCs w:val="24"/>
        </w:rPr>
        <w:t>», «сил</w:t>
      </w:r>
      <w:r w:rsidR="006762E1">
        <w:rPr>
          <w:rFonts w:ascii="Times New Roman" w:hAnsi="Times New Roman" w:cs="Times New Roman"/>
          <w:sz w:val="24"/>
          <w:szCs w:val="24"/>
        </w:rPr>
        <w:t>а</w:t>
      </w:r>
      <w:r w:rsidR="006762E1" w:rsidRPr="006762E1">
        <w:rPr>
          <w:rFonts w:ascii="Times New Roman" w:hAnsi="Times New Roman" w:cs="Times New Roman"/>
          <w:sz w:val="24"/>
          <w:szCs w:val="24"/>
        </w:rPr>
        <w:t xml:space="preserve"> народа».</w:t>
      </w:r>
      <w:r w:rsidR="006762E1">
        <w:rPr>
          <w:rFonts w:ascii="Times New Roman" w:hAnsi="Times New Roman" w:cs="Times New Roman"/>
          <w:sz w:val="24"/>
          <w:szCs w:val="24"/>
        </w:rPr>
        <w:t xml:space="preserve"> </w:t>
      </w:r>
    </w:p>
    <w:p w:rsidR="006762E1" w:rsidRDefault="005D23BD" w:rsidP="001451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 анализе образо</w:t>
      </w:r>
      <w:r w:rsidR="0043274D">
        <w:rPr>
          <w:rFonts w:ascii="Times New Roman" w:hAnsi="Times New Roman" w:cs="Times New Roman"/>
          <w:sz w:val="24"/>
          <w:szCs w:val="24"/>
        </w:rPr>
        <w:t xml:space="preserve">в политических лидеров следует отметить, что Б.Н. Ельцина чаще всего определяли как </w:t>
      </w:r>
      <w:r w:rsidR="0043274D" w:rsidRPr="0043274D">
        <w:rPr>
          <w:rFonts w:ascii="Times New Roman" w:hAnsi="Times New Roman" w:cs="Times New Roman"/>
          <w:sz w:val="24"/>
          <w:szCs w:val="24"/>
        </w:rPr>
        <w:t>«одиночку», «популиста», «реформатора» и «лидера»</w:t>
      </w:r>
      <w:r w:rsidR="0043274D">
        <w:rPr>
          <w:rFonts w:ascii="Times New Roman" w:hAnsi="Times New Roman" w:cs="Times New Roman"/>
          <w:sz w:val="24"/>
          <w:szCs w:val="24"/>
        </w:rPr>
        <w:t>. В то время как основными коллокатами при упоминании М.С. Горбачёва были «изменения», «власть», «демократизация», «реформы» и «перестройка».</w:t>
      </w:r>
    </w:p>
    <w:p w:rsidR="00AC4191" w:rsidRPr="004045A5" w:rsidRDefault="00AC4191" w:rsidP="001451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Четвертая тематическая группа охватывает непосредственно события Августовского путча. Происходящее называли «революцией» – «Октябрьской», «Большевистской» и «демократической», проводя прямые параллели с событиями 1917 года.</w:t>
      </w:r>
    </w:p>
    <w:p w:rsidR="00F55205" w:rsidRDefault="00AC4191" w:rsidP="001451A0">
      <w:pPr>
        <w:spacing w:after="0"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Заключение.</w:t>
      </w:r>
      <w:r>
        <w:rPr>
          <w:rFonts w:ascii="Times New Roman" w:hAnsi="Times New Roman" w:cs="Times New Roman"/>
          <w:sz w:val="24"/>
          <w:szCs w:val="24"/>
        </w:rPr>
        <w:t xml:space="preserve"> Несмотря на то, что основные тематические группы, выявленные в рамках частотного лексического анализа достаточно тривиальны, интерес представляют глубинные, не продвигаемые напрямую аспекты. Дистанцирование населения от политической линии страны, выделение отдельного безликого актанта «Кремль», которому присуща собственная тактика. Наделение «народа» пассивной ролью, определение его как страдающего. Демонизация «Кремля» при формировании позитивного и даже героического образа непосредственных лидеров страны – М.С. Горбачёва и Б.Н. Ельцина. Активное чествование «новой революции» как признака возврата России в правильное, демократическое, русло. </w:t>
      </w:r>
    </w:p>
    <w:p w:rsidR="00F55205" w:rsidRDefault="00F55205" w:rsidP="001451A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Результаты исследования позволили не только выявить фокус интереса американской прессы по отношению к событиям в России в период неопределенности, в последние годы существования СССР, но и определить основные точки воздействия для позитивизации образа нашей страны за рубежом. </w:t>
      </w:r>
    </w:p>
    <w:p w:rsidR="00AC4191" w:rsidRPr="00AC4191" w:rsidRDefault="00AC4191" w:rsidP="001451A0">
      <w:pPr>
        <w:spacing w:after="0" w:line="240" w:lineRule="auto"/>
        <w:ind w:firstLine="426"/>
        <w:jc w:val="both"/>
        <w:rPr>
          <w:rFonts w:ascii="Times New Roman" w:hAnsi="Times New Roman" w:cs="Times New Roman"/>
          <w:sz w:val="24"/>
          <w:szCs w:val="24"/>
        </w:rPr>
      </w:pPr>
    </w:p>
    <w:p w:rsidR="004045A5" w:rsidRDefault="004045A5" w:rsidP="001451A0">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Литература</w:t>
      </w:r>
    </w:p>
    <w:p w:rsidR="004045A5" w:rsidRDefault="001451A0" w:rsidP="001451A0">
      <w:pPr>
        <w:spacing w:after="0" w:line="240" w:lineRule="auto"/>
        <w:ind w:firstLine="426"/>
        <w:jc w:val="both"/>
        <w:rPr>
          <w:rFonts w:ascii="Times New Roman" w:hAnsi="Times New Roman" w:cs="Times New Roman"/>
          <w:sz w:val="24"/>
          <w:szCs w:val="24"/>
        </w:rPr>
      </w:pPr>
      <w:r w:rsidRPr="001451A0">
        <w:rPr>
          <w:rFonts w:ascii="Times New Roman" w:hAnsi="Times New Roman" w:cs="Times New Roman"/>
          <w:sz w:val="24"/>
          <w:szCs w:val="24"/>
          <w:lang w:val="en-US"/>
        </w:rPr>
        <w:t xml:space="preserve">1. Orwell G. You and the Atomic Bomb // Tribune. — GB, London. — October 19, 1945. </w:t>
      </w:r>
      <w:r>
        <w:rPr>
          <w:rFonts w:ascii="Times New Roman" w:hAnsi="Times New Roman" w:cs="Times New Roman"/>
          <w:sz w:val="24"/>
          <w:szCs w:val="24"/>
        </w:rPr>
        <w:t>URL</w:t>
      </w:r>
      <w:r w:rsidRPr="001451A0">
        <w:rPr>
          <w:rFonts w:ascii="Times New Roman" w:hAnsi="Times New Roman" w:cs="Times New Roman"/>
          <w:sz w:val="24"/>
          <w:szCs w:val="24"/>
        </w:rPr>
        <w:t>: https://orwell.ru/library/articles/ABomb/english/e_abomb (дата обращения 26.01.2024)</w:t>
      </w:r>
    </w:p>
    <w:p w:rsidR="001451A0" w:rsidRPr="001451A0" w:rsidRDefault="001451A0" w:rsidP="001451A0">
      <w:pPr>
        <w:spacing w:after="0" w:line="240" w:lineRule="auto"/>
        <w:ind w:firstLine="426"/>
        <w:jc w:val="both"/>
        <w:rPr>
          <w:rFonts w:ascii="Times New Roman" w:hAnsi="Times New Roman" w:cs="Times New Roman"/>
          <w:sz w:val="24"/>
          <w:szCs w:val="24"/>
        </w:rPr>
      </w:pPr>
      <w:r w:rsidRPr="001451A0">
        <w:rPr>
          <w:rFonts w:ascii="Times New Roman" w:hAnsi="Times New Roman" w:cs="Times New Roman"/>
          <w:sz w:val="24"/>
          <w:szCs w:val="24"/>
        </w:rPr>
        <w:t xml:space="preserve">2. </w:t>
      </w:r>
      <w:r w:rsidRPr="001451A0">
        <w:rPr>
          <w:rFonts w:ascii="Times New Roman" w:hAnsi="Times New Roman" w:cs="Times New Roman"/>
          <w:sz w:val="24"/>
          <w:szCs w:val="24"/>
        </w:rPr>
        <w:t>Wheeler B. Paradigm Blindness: An Exploration of its Effects and Solutions URL: https://www.linkedin.com/pulse/paradigm-blindness-exploration-its-effects-solutions-bill-wheeler (дата обращения 10.05.2023)</w:t>
      </w:r>
      <w:bookmarkEnd w:id="0"/>
    </w:p>
    <w:sectPr w:rsidR="001451A0" w:rsidRPr="001451A0" w:rsidSect="00DE0165">
      <w:pgSz w:w="11906" w:h="16838"/>
      <w:pgMar w:top="1134"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701" w:rsidRDefault="00667701" w:rsidP="00CD22B6">
      <w:pPr>
        <w:spacing w:after="0" w:line="240" w:lineRule="auto"/>
      </w:pPr>
      <w:r>
        <w:separator/>
      </w:r>
    </w:p>
  </w:endnote>
  <w:endnote w:type="continuationSeparator" w:id="0">
    <w:p w:rsidR="00667701" w:rsidRDefault="00667701" w:rsidP="00CD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701" w:rsidRDefault="00667701" w:rsidP="00CD22B6">
      <w:pPr>
        <w:spacing w:after="0" w:line="240" w:lineRule="auto"/>
      </w:pPr>
      <w:r>
        <w:separator/>
      </w:r>
    </w:p>
  </w:footnote>
  <w:footnote w:type="continuationSeparator" w:id="0">
    <w:p w:rsidR="00667701" w:rsidRDefault="00667701" w:rsidP="00CD2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65"/>
    <w:rsid w:val="000C3340"/>
    <w:rsid w:val="0011460F"/>
    <w:rsid w:val="001451A0"/>
    <w:rsid w:val="001C0F14"/>
    <w:rsid w:val="0026102C"/>
    <w:rsid w:val="00271922"/>
    <w:rsid w:val="002B760C"/>
    <w:rsid w:val="00347F76"/>
    <w:rsid w:val="004045A5"/>
    <w:rsid w:val="0043274D"/>
    <w:rsid w:val="004F6C14"/>
    <w:rsid w:val="005D23BD"/>
    <w:rsid w:val="00656283"/>
    <w:rsid w:val="00667701"/>
    <w:rsid w:val="006762E1"/>
    <w:rsid w:val="006D7C86"/>
    <w:rsid w:val="00867157"/>
    <w:rsid w:val="00945E06"/>
    <w:rsid w:val="00960FB6"/>
    <w:rsid w:val="00A03D07"/>
    <w:rsid w:val="00A40D04"/>
    <w:rsid w:val="00AC4191"/>
    <w:rsid w:val="00CD22B6"/>
    <w:rsid w:val="00D4281D"/>
    <w:rsid w:val="00DE0165"/>
    <w:rsid w:val="00F13B9E"/>
    <w:rsid w:val="00F5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0013B-40E6-473F-95CA-477A7911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165"/>
    <w:rPr>
      <w:color w:val="0563C1" w:themeColor="hyperlink"/>
      <w:u w:val="single"/>
    </w:rPr>
  </w:style>
  <w:style w:type="paragraph" w:styleId="a4">
    <w:name w:val="footnote text"/>
    <w:basedOn w:val="a"/>
    <w:link w:val="a5"/>
    <w:uiPriority w:val="99"/>
    <w:semiHidden/>
    <w:unhideWhenUsed/>
    <w:rsid w:val="00CD22B6"/>
    <w:pPr>
      <w:spacing w:after="0" w:line="240" w:lineRule="auto"/>
    </w:pPr>
    <w:rPr>
      <w:sz w:val="20"/>
      <w:szCs w:val="20"/>
    </w:rPr>
  </w:style>
  <w:style w:type="character" w:customStyle="1" w:styleId="a5">
    <w:name w:val="Текст сноски Знак"/>
    <w:basedOn w:val="a0"/>
    <w:link w:val="a4"/>
    <w:uiPriority w:val="99"/>
    <w:semiHidden/>
    <w:rsid w:val="00CD22B6"/>
    <w:rPr>
      <w:sz w:val="20"/>
      <w:szCs w:val="20"/>
    </w:rPr>
  </w:style>
  <w:style w:type="character" w:styleId="a6">
    <w:name w:val="footnote reference"/>
    <w:basedOn w:val="a0"/>
    <w:uiPriority w:val="99"/>
    <w:semiHidden/>
    <w:unhideWhenUsed/>
    <w:rsid w:val="00CD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DA136-1C99-4724-A5AB-4EA7CF16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Pages>
  <Words>837</Words>
  <Characters>4775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22</cp:revision>
  <dcterms:created xsi:type="dcterms:W3CDTF">2024-02-08T21:33:00Z</dcterms:created>
  <dcterms:modified xsi:type="dcterms:W3CDTF">2024-02-10T20:23:00Z</dcterms:modified>
</cp:coreProperties>
</file>