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A73" w:rsidRPr="00037A73" w:rsidRDefault="00037A73" w:rsidP="00FF4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7A73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Совместное использование электронного парамагнитного резонанса и сканирующей электронной микроскопии для количественного определения внутренней структуры мембран из окс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и</w:t>
      </w:r>
      <w:r w:rsidRPr="00037A73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да графена</w:t>
      </w:r>
      <w:r w:rsidRPr="00037A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F475A" w:rsidRPr="00FF475A" w:rsidRDefault="00FF475A" w:rsidP="00FF47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F475A">
        <w:rPr>
          <w:rFonts w:ascii="Times New Roman" w:hAnsi="Times New Roman"/>
          <w:b/>
          <w:bCs/>
          <w:iCs/>
          <w:sz w:val="24"/>
          <w:szCs w:val="24"/>
        </w:rPr>
        <w:t>Матвеев М.В.</w:t>
      </w:r>
      <w:r w:rsidRPr="00FF475A">
        <w:rPr>
          <w:rFonts w:ascii="Times New Roman" w:hAnsi="Times New Roman"/>
          <w:b/>
          <w:bCs/>
          <w:iCs/>
          <w:sz w:val="24"/>
          <w:szCs w:val="24"/>
          <w:vertAlign w:val="superscript"/>
        </w:rPr>
        <w:t xml:space="preserve"> 1,2</w:t>
      </w:r>
      <w:r w:rsidRPr="00FF475A">
        <w:rPr>
          <w:rFonts w:ascii="Times New Roman" w:hAnsi="Times New Roman"/>
          <w:b/>
          <w:bCs/>
          <w:iCs/>
          <w:sz w:val="24"/>
          <w:szCs w:val="24"/>
        </w:rPr>
        <w:t>, Чумакова Н.А.</w:t>
      </w:r>
      <w:r w:rsidRPr="00FF475A">
        <w:rPr>
          <w:rFonts w:ascii="Times New Roman" w:hAnsi="Times New Roman"/>
          <w:b/>
          <w:bCs/>
          <w:iCs/>
          <w:sz w:val="24"/>
          <w:szCs w:val="24"/>
          <w:vertAlign w:val="superscript"/>
        </w:rPr>
        <w:t>1,2</w:t>
      </w:r>
      <w:r w:rsidRPr="00FF475A">
        <w:rPr>
          <w:rFonts w:ascii="Times New Roman" w:hAnsi="Times New Roman"/>
          <w:b/>
          <w:bCs/>
          <w:iCs/>
          <w:sz w:val="24"/>
          <w:szCs w:val="24"/>
        </w:rPr>
        <w:t xml:space="preserve">, , </w:t>
      </w:r>
      <w:proofErr w:type="spellStart"/>
      <w:r w:rsidRPr="00FF475A">
        <w:rPr>
          <w:rFonts w:ascii="Times New Roman" w:hAnsi="Times New Roman"/>
          <w:b/>
          <w:bCs/>
          <w:iCs/>
          <w:sz w:val="24"/>
          <w:szCs w:val="24"/>
        </w:rPr>
        <w:t>Марнаутов</w:t>
      </w:r>
      <w:proofErr w:type="spellEnd"/>
      <w:r w:rsidRPr="00FF475A">
        <w:rPr>
          <w:rFonts w:ascii="Times New Roman" w:hAnsi="Times New Roman"/>
          <w:b/>
          <w:bCs/>
          <w:iCs/>
          <w:sz w:val="24"/>
          <w:szCs w:val="24"/>
        </w:rPr>
        <w:t xml:space="preserve"> Н.А.</w:t>
      </w:r>
      <w:r w:rsidRPr="00FF475A">
        <w:rPr>
          <w:rFonts w:ascii="Times New Roman" w:hAnsi="Times New Roman"/>
          <w:b/>
          <w:bCs/>
          <w:iCs/>
          <w:sz w:val="24"/>
          <w:szCs w:val="24"/>
          <w:vertAlign w:val="superscript"/>
        </w:rPr>
        <w:t>3</w:t>
      </w:r>
    </w:p>
    <w:p w:rsidR="00FF475A" w:rsidRPr="001F3FAA" w:rsidRDefault="00FF475A" w:rsidP="00FF475A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9641A2">
        <w:rPr>
          <w:rFonts w:ascii="Times New Roman" w:hAnsi="Times New Roman"/>
          <w:i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i/>
          <w:sz w:val="24"/>
          <w:szCs w:val="24"/>
        </w:rPr>
        <w:t>Федеральный исследовательский центр химической физики им. Н</w:t>
      </w:r>
      <w:r w:rsidRPr="001F3FA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Н. Семенова</w:t>
      </w:r>
      <w:r w:rsidRPr="001F3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РАН</w:t>
      </w:r>
      <w:r w:rsidRPr="001F3FAA">
        <w:rPr>
          <w:rFonts w:ascii="Times New Roman" w:hAnsi="Times New Roman"/>
          <w:i/>
          <w:sz w:val="24"/>
          <w:szCs w:val="24"/>
        </w:rPr>
        <w:t>,</w:t>
      </w:r>
    </w:p>
    <w:p w:rsidR="00FF475A" w:rsidRDefault="00FF475A" w:rsidP="00FF475A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F0E69">
        <w:rPr>
          <w:rFonts w:ascii="Times New Roman" w:hAnsi="Times New Roman"/>
          <w:i/>
          <w:sz w:val="24"/>
          <w:szCs w:val="24"/>
        </w:rPr>
        <w:t>г</w:t>
      </w:r>
      <w:r w:rsidRPr="001F3FAA">
        <w:rPr>
          <w:rFonts w:ascii="Times New Roman" w:hAnsi="Times New Roman"/>
          <w:i/>
          <w:sz w:val="24"/>
          <w:szCs w:val="24"/>
        </w:rPr>
        <w:t>.</w:t>
      </w:r>
      <w:r w:rsidRPr="00F11E9D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F0E69">
        <w:rPr>
          <w:rFonts w:ascii="Times New Roman" w:hAnsi="Times New Roman"/>
          <w:i/>
          <w:sz w:val="24"/>
          <w:szCs w:val="24"/>
        </w:rPr>
        <w:t>Москва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F0E69">
        <w:rPr>
          <w:rFonts w:ascii="Times New Roman" w:hAnsi="Times New Roman"/>
          <w:i/>
          <w:sz w:val="24"/>
          <w:szCs w:val="24"/>
        </w:rPr>
        <w:t>Россия</w:t>
      </w:r>
    </w:p>
    <w:p w:rsidR="00FF475A" w:rsidRPr="00A66695" w:rsidRDefault="00FF475A" w:rsidP="00FF475A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Московский государственный университет им. М.В. Ломоносова, Химический факультет,</w:t>
      </w:r>
      <w:r w:rsidRPr="00590349">
        <w:rPr>
          <w:rFonts w:ascii="Times New Roman" w:hAnsi="Times New Roman"/>
          <w:i/>
          <w:sz w:val="24"/>
          <w:szCs w:val="24"/>
        </w:rPr>
        <w:t xml:space="preserve"> </w:t>
      </w:r>
      <w:r w:rsidRPr="00EF0E69">
        <w:rPr>
          <w:rFonts w:ascii="Times New Roman" w:hAnsi="Times New Roman"/>
          <w:i/>
          <w:sz w:val="24"/>
          <w:szCs w:val="24"/>
        </w:rPr>
        <w:t>г</w:t>
      </w:r>
      <w:r w:rsidRPr="001F3FAA">
        <w:rPr>
          <w:rFonts w:ascii="Times New Roman" w:hAnsi="Times New Roman"/>
          <w:i/>
          <w:sz w:val="24"/>
          <w:szCs w:val="24"/>
        </w:rPr>
        <w:t>.</w:t>
      </w:r>
      <w:r w:rsidRPr="00F11E9D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F0E69">
        <w:rPr>
          <w:rFonts w:ascii="Times New Roman" w:hAnsi="Times New Roman"/>
          <w:i/>
          <w:sz w:val="24"/>
          <w:szCs w:val="24"/>
        </w:rPr>
        <w:t>Москва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F0E69">
        <w:rPr>
          <w:rFonts w:ascii="Times New Roman" w:hAnsi="Times New Roman"/>
          <w:i/>
          <w:sz w:val="24"/>
          <w:szCs w:val="24"/>
        </w:rPr>
        <w:t>Россия</w:t>
      </w:r>
    </w:p>
    <w:p w:rsidR="00FF475A" w:rsidRPr="001F3FAA" w:rsidRDefault="00FF475A" w:rsidP="00FF475A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590349">
        <w:rPr>
          <w:rFonts w:ascii="Times New Roman" w:hAnsi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Институт биохимической физики им. Н.М. Эмануэля РАН</w:t>
      </w:r>
      <w:r w:rsidRPr="001F3FAA">
        <w:rPr>
          <w:rFonts w:ascii="Times New Roman" w:hAnsi="Times New Roman"/>
          <w:i/>
          <w:sz w:val="24"/>
          <w:szCs w:val="24"/>
        </w:rPr>
        <w:t>,</w:t>
      </w:r>
      <w:r w:rsidRPr="00590349">
        <w:rPr>
          <w:rFonts w:ascii="Times New Roman" w:hAnsi="Times New Roman"/>
          <w:i/>
          <w:sz w:val="24"/>
          <w:szCs w:val="24"/>
        </w:rPr>
        <w:t xml:space="preserve"> </w:t>
      </w:r>
      <w:r w:rsidRPr="00EF0E69">
        <w:rPr>
          <w:rFonts w:ascii="Times New Roman" w:hAnsi="Times New Roman"/>
          <w:i/>
          <w:sz w:val="24"/>
          <w:szCs w:val="24"/>
        </w:rPr>
        <w:t>г</w:t>
      </w:r>
      <w:r w:rsidRPr="001F3FAA">
        <w:rPr>
          <w:rFonts w:ascii="Times New Roman" w:hAnsi="Times New Roman"/>
          <w:i/>
          <w:sz w:val="24"/>
          <w:szCs w:val="24"/>
        </w:rPr>
        <w:t>.</w:t>
      </w:r>
      <w:r w:rsidRPr="00F11E9D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F0E69">
        <w:rPr>
          <w:rFonts w:ascii="Times New Roman" w:hAnsi="Times New Roman"/>
          <w:i/>
          <w:sz w:val="24"/>
          <w:szCs w:val="24"/>
        </w:rPr>
        <w:t>Москва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F0E69">
        <w:rPr>
          <w:rFonts w:ascii="Times New Roman" w:hAnsi="Times New Roman"/>
          <w:i/>
          <w:sz w:val="24"/>
          <w:szCs w:val="24"/>
        </w:rPr>
        <w:t>Россия</w:t>
      </w:r>
    </w:p>
    <w:p w:rsidR="00690753" w:rsidRPr="00037A73" w:rsidRDefault="00690753" w:rsidP="00FF47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2033A">
        <w:rPr>
          <w:rFonts w:ascii="Times New Roman" w:hAnsi="Times New Roman"/>
          <w:i/>
          <w:color w:val="000000"/>
          <w:sz w:val="24"/>
          <w:szCs w:val="24"/>
          <w:lang w:val="en-US"/>
        </w:rPr>
        <w:t>E</w:t>
      </w:r>
      <w:r w:rsidRPr="00037A73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B2033A">
        <w:rPr>
          <w:rFonts w:ascii="Times New Roman" w:hAnsi="Times New Roman"/>
          <w:i/>
          <w:color w:val="000000"/>
          <w:sz w:val="24"/>
          <w:szCs w:val="24"/>
          <w:lang w:val="en-US"/>
        </w:rPr>
        <w:t>mail</w:t>
      </w:r>
      <w:r w:rsidRPr="00037A73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B2033A">
        <w:rPr>
          <w:rFonts w:ascii="Times New Roman" w:hAnsi="Times New Roman"/>
          <w:i/>
          <w:color w:val="000000"/>
          <w:sz w:val="24"/>
          <w:szCs w:val="24"/>
          <w:lang w:val="en-US"/>
        </w:rPr>
        <w:t>matveev</w:t>
      </w:r>
      <w:proofErr w:type="spellEnd"/>
      <w:r w:rsidRPr="00037A73">
        <w:rPr>
          <w:rFonts w:ascii="Times New Roman" w:hAnsi="Times New Roman"/>
          <w:i/>
          <w:color w:val="000000"/>
          <w:sz w:val="24"/>
          <w:szCs w:val="24"/>
        </w:rPr>
        <w:t>2002@</w:t>
      </w:r>
      <w:proofErr w:type="spellStart"/>
      <w:r w:rsidRPr="00B2033A">
        <w:rPr>
          <w:rFonts w:ascii="Times New Roman" w:hAnsi="Times New Roman"/>
          <w:i/>
          <w:color w:val="000000"/>
          <w:sz w:val="24"/>
          <w:szCs w:val="24"/>
          <w:lang w:val="en-US"/>
        </w:rPr>
        <w:t>yandex</w:t>
      </w:r>
      <w:proofErr w:type="spellEnd"/>
      <w:r w:rsidRPr="00037A73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spellStart"/>
      <w:r w:rsidRPr="00B2033A">
        <w:rPr>
          <w:rFonts w:ascii="Times New Roman" w:hAnsi="Times New Roman"/>
          <w:i/>
          <w:color w:val="000000"/>
          <w:sz w:val="24"/>
          <w:szCs w:val="24"/>
          <w:lang w:val="en-US"/>
        </w:rPr>
        <w:t>ru</w:t>
      </w:r>
      <w:proofErr w:type="spellEnd"/>
    </w:p>
    <w:p w:rsidR="00690753" w:rsidRPr="00037A73" w:rsidRDefault="00690753" w:rsidP="006907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D100F" w:rsidRDefault="00FF475A" w:rsidP="0069075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Мембраны из оксида графена (МОГ) являются перспективными барьерными материалами благодаря их избирательной проницаемости для полярных жидкостей и гидратированных ионов. Высокая селективность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проницаемости МОГ, как полагают, определяется внутренней структурой мембраны, а именно упорядоченностью </w:t>
      </w:r>
      <w:proofErr w:type="spellStart"/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оксиграфеновых</w:t>
      </w:r>
      <w:proofErr w:type="spellEnd"/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слоев </w:t>
      </w:r>
      <w:r w:rsidR="002D100F"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2D100F"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степенью их изогнутости </w:t>
      </w:r>
      <w:r w:rsidR="002D100F"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2D100F"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2D100F" w:rsidRPr="00FF4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 недавнего времени упорядоченность 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</w:t>
      </w:r>
      <w:r w:rsidR="002D100F" w:rsidRPr="00FF4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определяли</w:t>
      </w:r>
      <w:r w:rsidR="002D100F" w:rsidRPr="00FF4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качественно (визуально) на основ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ании микрофотографий СЭМ боковой поверхности мембраны. Разрешающая способность метода позволяет оценить упорядоченность ламелей, образующих мембрану</w:t>
      </w:r>
      <w:r w:rsidR="00CC41A3" w:rsidRPr="00CC4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каждая ламель включает в себя 15-30 </w:t>
      </w:r>
      <w:proofErr w:type="spellStart"/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оксиграфеновых</w:t>
      </w:r>
      <w:proofErr w:type="spellEnd"/>
      <w:r w:rsid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слоев.</w:t>
      </w:r>
    </w:p>
    <w:p w:rsidR="00D021DB" w:rsidRDefault="002D100F" w:rsidP="00D021D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настоящем докладе будут представлены два новых метода, позволяющих количественно характеризовать внутреннюю структуру МОГ – метод спинового зонда и метод численного анализа микрофотографий СЭМ. </w:t>
      </w:r>
      <w:r w:rsidR="00427F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 спинового зонда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7F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заключается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7F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анализе</w:t>
      </w:r>
      <w:r w:rsidR="00427F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серии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спектров ЭПР</w:t>
      </w:r>
      <w:r w:rsidR="00D0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(рис</w:t>
      </w:r>
      <w:r w:rsidR="000E7013" w:rsidRPr="000E70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0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1а)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стабильных </w:t>
      </w:r>
      <w:proofErr w:type="spellStart"/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нитрокси</w:t>
      </w:r>
      <w:r w:rsidR="00864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ных</w:t>
      </w:r>
      <w:proofErr w:type="spellEnd"/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радикалов (спиновых зондов), сорбированных на внутренней поверхности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27F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Полученные из совместного моделирования спектров ориентационные параметры порядка зонда в мембране отражают упорядоченность и форму слоев оксида графена. Количественный анализ микрофотографий СЭМ</w:t>
      </w:r>
      <w:r w:rsidR="00D0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(рис</w:t>
      </w:r>
      <w:r w:rsidR="000E7013" w:rsidRPr="000E70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0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1б)</w:t>
      </w:r>
      <w:r w:rsidR="00427F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основанный на технологии машинного обучения, позволяет определять ориентационные параметры порядка ламелей, составляющих мембрану.</w:t>
      </w:r>
      <w:r w:rsidR="00D0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Совместное использование описанных методов позволяет получить детальную характеристику внутренней структуры </w:t>
      </w:r>
      <w:r w:rsidR="00864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мембран из оксида графена</w:t>
      </w:r>
      <w:r w:rsidRPr="002D10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73"/>
        <w:gridCol w:w="4683"/>
      </w:tblGrid>
      <w:tr w:rsidR="00D021DB" w:rsidRPr="00C91B82" w:rsidTr="00D021DB">
        <w:tc>
          <w:tcPr>
            <w:tcW w:w="4673" w:type="dxa"/>
            <w:shd w:val="clear" w:color="auto" w:fill="auto"/>
            <w:vAlign w:val="center"/>
          </w:tcPr>
          <w:p w:rsidR="00D021DB" w:rsidRPr="00D021DB" w:rsidRDefault="00B706AE" w:rsidP="00D021D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4"/>
                <w:szCs w:val="24"/>
              </w:rPr>
            </w:pPr>
            <w:r w:rsidRPr="00D021DB">
              <w:rPr>
                <w:rFonts w:ascii="Times New Roman" w:hAnsi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57785</wp:posOffset>
                      </wp:positionV>
                      <wp:extent cx="203200" cy="250190"/>
                      <wp:effectExtent l="2540" t="0" r="3810" b="635"/>
                      <wp:wrapNone/>
                      <wp:docPr id="1984550174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1DB" w:rsidRPr="00D021DB" w:rsidRDefault="00D021DB" w:rsidP="00D021DB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021D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6.25pt;margin-top:4.55pt;width:16pt;height:1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" stroked="f">
                      <v:textbox>
                        <w:txbxContent>
                          <w:p w:rsidR="00D021DB" w:rsidRPr="00D021DB" w:rsidRDefault="00D021DB" w:rsidP="00D021D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1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1DB" w:rsidRPr="00D021DB">
              <w:rPr>
                <w:rFonts w:ascii="Times New Roman" w:hAnsi="Times New Roman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2077516" cy="1702314"/>
                  <wp:effectExtent l="0" t="0" r="0" b="0"/>
                  <wp:docPr id="498235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2" t="10187" r="16650" b="19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038" cy="17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D021DB" w:rsidRPr="00C91B82" w:rsidRDefault="00037A73" w:rsidP="00D021DB">
            <w:pPr>
              <w:spacing w:after="120"/>
              <w:jc w:val="center"/>
              <w:rPr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91B82">
              <w:rPr>
                <w:noProof/>
                <w:color w:val="000000"/>
                <w:kern w:val="2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203200" cy="250190"/>
                      <wp:effectExtent l="0" t="0" r="0" b="1270"/>
                      <wp:wrapNone/>
                      <wp:docPr id="743357713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1DB" w:rsidRPr="00D021DB" w:rsidRDefault="00D021DB" w:rsidP="00D021DB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left:0;text-align:left;margin-left:4.05pt;margin-top:2.7pt;width:16pt;height:1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" stroked="f">
                      <v:textbox>
                        <w:txbxContent>
                          <w:p w:rsidR="00D021DB" w:rsidRPr="00D021DB" w:rsidRDefault="00D021DB" w:rsidP="00D021D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1DB" w:rsidRPr="00C91B82">
              <w:rPr>
                <w:noProof/>
                <w:kern w:val="2"/>
              </w:rPr>
              <w:drawing>
                <wp:inline distT="0" distB="0" distL="0" distR="0">
                  <wp:extent cx="2162213" cy="1543507"/>
                  <wp:effectExtent l="0" t="0" r="0" b="0"/>
                  <wp:docPr id="13787407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4" cy="155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1DB" w:rsidRPr="00D021DB" w:rsidTr="00D021DB">
        <w:tc>
          <w:tcPr>
            <w:tcW w:w="9356" w:type="dxa"/>
            <w:gridSpan w:val="2"/>
            <w:shd w:val="clear" w:color="auto" w:fill="auto"/>
            <w:vAlign w:val="center"/>
          </w:tcPr>
          <w:p w:rsidR="002151D1" w:rsidRPr="00037A73" w:rsidRDefault="00D021DB" w:rsidP="00037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Рис. 1. а)  Угловая зависимость спектра ЭПР стабильного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нитроксильного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радикала в МОГ</w:t>
            </w:r>
            <w:r w:rsidRPr="00D021DB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черные линии – экспериментальный спектр, красный – результат моделирования</w:t>
            </w:r>
            <w:r w:rsidRPr="00D021DB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б) микрофотография СЭМ мембраны из оксида графена</w:t>
            </w:r>
          </w:p>
        </w:tc>
      </w:tr>
    </w:tbl>
    <w:p w:rsidR="00037A73" w:rsidRDefault="00037A73" w:rsidP="00D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037A73" w:rsidRDefault="00037A73" w:rsidP="00D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1A1A1A"/>
          <w:sz w:val="24"/>
          <w:szCs w:val="24"/>
          <w:shd w:val="clear" w:color="auto" w:fill="FFFFFF"/>
        </w:rPr>
      </w:pPr>
      <w:r w:rsidRPr="00B2033A">
        <w:rPr>
          <w:rFonts w:ascii="Times New Roman" w:hAnsi="Times New Roman"/>
          <w:i/>
          <w:sz w:val="24"/>
          <w:szCs w:val="24"/>
        </w:rPr>
        <w:t xml:space="preserve">Работа выполнена при поддержке гранта РНФ </w:t>
      </w:r>
      <w:r w:rsidRPr="00037A73">
        <w:rPr>
          <w:rFonts w:ascii="Times New Roman" w:hAnsi="Times New Roman"/>
          <w:i/>
          <w:sz w:val="24"/>
          <w:szCs w:val="24"/>
        </w:rPr>
        <w:t xml:space="preserve">№ </w:t>
      </w:r>
      <w:r w:rsidRPr="00037A73">
        <w:rPr>
          <w:rFonts w:ascii="Times New Roman" w:hAnsi="Times New Roman"/>
          <w:i/>
          <w:color w:val="1A1A1A"/>
          <w:sz w:val="24"/>
          <w:szCs w:val="24"/>
          <w:shd w:val="clear" w:color="auto" w:fill="FFFFFF"/>
        </w:rPr>
        <w:t>23-23-00016</w:t>
      </w:r>
    </w:p>
    <w:p w:rsidR="00037A73" w:rsidRDefault="00037A73" w:rsidP="00D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1A1A1A"/>
          <w:shd w:val="clear" w:color="auto" w:fill="FFFFFF"/>
        </w:rPr>
      </w:pPr>
    </w:p>
    <w:p w:rsidR="00D021DB" w:rsidRPr="00037A73" w:rsidRDefault="00D021DB" w:rsidP="00D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noProof/>
          <w:sz w:val="24"/>
          <w:szCs w:val="24"/>
          <w:lang w:val="en-US"/>
        </w:rPr>
      </w:pPr>
      <w:r w:rsidRPr="00D021DB">
        <w:rPr>
          <w:rFonts w:ascii="Times New Roman" w:hAnsi="Times New Roman"/>
          <w:b/>
          <w:bCs/>
          <w:noProof/>
          <w:sz w:val="24"/>
          <w:szCs w:val="24"/>
        </w:rPr>
        <w:t>Литература</w:t>
      </w:r>
    </w:p>
    <w:p w:rsidR="00D021DB" w:rsidRPr="00CC41A3" w:rsidRDefault="00D021DB" w:rsidP="00D02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</w:pP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1.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Akbari, A. et. al., 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Large-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a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rea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g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raphene-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b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ased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n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anofiltration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m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embranes by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s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hear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a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lignment of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d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iscotic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n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ematic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l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iquid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c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rystals of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g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raphene </w:t>
      </w:r>
      <w:r w:rsidR="00CC41A3"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o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xide // </w:t>
      </w:r>
      <w:r w:rsidRPr="00CC41A3">
        <w:rPr>
          <w:rFonts w:ascii="Times New Roman" w:hAnsi="Times New Roman"/>
          <w:iCs/>
          <w:noProof/>
          <w:color w:val="000000" w:themeColor="text1"/>
          <w:sz w:val="24"/>
          <w:szCs w:val="24"/>
          <w:lang w:val="en-US"/>
        </w:rPr>
        <w:t>Nat. Commun</w:t>
      </w:r>
      <w:r w:rsidRPr="00CC41A3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val="en-US"/>
        </w:rPr>
        <w:t>.,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CC41A3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2016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, Vol. </w:t>
      </w:r>
      <w:r w:rsidRPr="00CC41A3">
        <w:rPr>
          <w:rFonts w:ascii="Times New Roman" w:hAnsi="Times New Roman"/>
          <w:iCs/>
          <w:noProof/>
          <w:color w:val="000000" w:themeColor="text1"/>
          <w:sz w:val="24"/>
          <w:szCs w:val="24"/>
          <w:lang w:val="en-US"/>
        </w:rPr>
        <w:t>7</w:t>
      </w:r>
      <w:r w:rsidRPr="00CC41A3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 xml:space="preserve"> no. 10891.</w:t>
      </w:r>
    </w:p>
    <w:p w:rsidR="00290363" w:rsidRPr="0092379A" w:rsidRDefault="00D021DB" w:rsidP="00923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C41A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2. </w:t>
      </w:r>
      <w:r w:rsidRPr="00CC41A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H. Huang </w:t>
      </w:r>
      <w:r w:rsidRPr="00CC41A3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/>
        </w:rPr>
        <w:t>et al.</w:t>
      </w:r>
      <w:r w:rsidR="00CC41A3" w:rsidRPr="00CC41A3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/>
        </w:rPr>
        <w:t xml:space="preserve">, </w:t>
      </w:r>
      <w:r w:rsidR="00CC41A3" w:rsidRPr="00874B08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en-US" w:eastAsia="ru-RU"/>
        </w:rPr>
        <w:t xml:space="preserve">Ultrafast viscous water flow through </w:t>
      </w:r>
      <w:proofErr w:type="spellStart"/>
      <w:r w:rsidR="00CC41A3" w:rsidRPr="00874B08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en-US" w:eastAsia="ru-RU"/>
        </w:rPr>
        <w:t>nanostrand-channelled</w:t>
      </w:r>
      <w:proofErr w:type="spellEnd"/>
      <w:r w:rsidR="00CC41A3" w:rsidRPr="00874B08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en-US" w:eastAsia="ru-RU"/>
        </w:rPr>
        <w:t xml:space="preserve"> graphene oxide membranes</w:t>
      </w:r>
      <w:r w:rsidR="00CC41A3" w:rsidRPr="00CC41A3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Pr="00CC41A3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/>
        </w:rPr>
        <w:t xml:space="preserve">// Nat. </w:t>
      </w:r>
      <w:proofErr w:type="spellStart"/>
      <w:r w:rsidRPr="00CC41A3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/>
        </w:rPr>
        <w:t>Commun</w:t>
      </w:r>
      <w:proofErr w:type="spellEnd"/>
      <w:r w:rsidRPr="00CC41A3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/>
        </w:rPr>
        <w:t>.</w:t>
      </w:r>
      <w:r w:rsidRPr="00CC41A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,</w:t>
      </w:r>
      <w:r w:rsidR="00CC41A3" w:rsidRPr="00CC41A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2013,</w:t>
      </w:r>
      <w:r w:rsidRPr="00CC41A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Vol. 4, pp. 1–9.</w:t>
      </w:r>
    </w:p>
    <w:sectPr w:rsidR="00290363" w:rsidRPr="0092379A" w:rsidSect="00720FF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3"/>
    <w:rsid w:val="00037A73"/>
    <w:rsid w:val="000E7013"/>
    <w:rsid w:val="001B3042"/>
    <w:rsid w:val="002151D1"/>
    <w:rsid w:val="00290363"/>
    <w:rsid w:val="002A7597"/>
    <w:rsid w:val="002D100F"/>
    <w:rsid w:val="002D3C17"/>
    <w:rsid w:val="002F4E0E"/>
    <w:rsid w:val="003F5E17"/>
    <w:rsid w:val="00411A88"/>
    <w:rsid w:val="0041574F"/>
    <w:rsid w:val="00427F78"/>
    <w:rsid w:val="00547111"/>
    <w:rsid w:val="00690753"/>
    <w:rsid w:val="00720FFD"/>
    <w:rsid w:val="008648B0"/>
    <w:rsid w:val="0088093E"/>
    <w:rsid w:val="00901A9A"/>
    <w:rsid w:val="0092379A"/>
    <w:rsid w:val="00A10E18"/>
    <w:rsid w:val="00A12F6E"/>
    <w:rsid w:val="00B2033A"/>
    <w:rsid w:val="00B205A8"/>
    <w:rsid w:val="00B706AE"/>
    <w:rsid w:val="00B91B4A"/>
    <w:rsid w:val="00BB0195"/>
    <w:rsid w:val="00C16FBF"/>
    <w:rsid w:val="00CC41A3"/>
    <w:rsid w:val="00D021DB"/>
    <w:rsid w:val="00E2577F"/>
    <w:rsid w:val="00E9188F"/>
    <w:rsid w:val="00E93EAF"/>
    <w:rsid w:val="00EA2B86"/>
    <w:rsid w:val="00F6759B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A6685"/>
  <w15:chartTrackingRefBased/>
  <w15:docId w15:val="{34762CA2-CD56-46BF-9839-392B795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fbodyfirst">
    <w:name w:val="Conf_body first"/>
    <w:basedOn w:val="a"/>
    <w:next w:val="Confbodytext"/>
    <w:qFormat/>
    <w:rsid w:val="00FF475A"/>
    <w:pPr>
      <w:spacing w:before="510" w:after="0" w:line="240" w:lineRule="auto"/>
    </w:pPr>
    <w:rPr>
      <w:rFonts w:ascii="Times New Roman" w:eastAsia="Times New Roman" w:hAnsi="Times New Roman" w:cs="Arial"/>
      <w:bCs/>
      <w:kern w:val="28"/>
      <w:sz w:val="20"/>
      <w:szCs w:val="21"/>
      <w:lang w:val="en-US" w:eastAsia="ru-RU"/>
    </w:rPr>
  </w:style>
  <w:style w:type="paragraph" w:customStyle="1" w:styleId="Confbodytext">
    <w:name w:val="Conf_body text"/>
    <w:basedOn w:val="Confbodyfirst"/>
    <w:qFormat/>
    <w:rsid w:val="00FF475A"/>
    <w:pPr>
      <w:spacing w:before="0"/>
      <w:ind w:firstLine="318"/>
    </w:pPr>
  </w:style>
  <w:style w:type="paragraph" w:styleId="a3">
    <w:name w:val="List Paragraph"/>
    <w:basedOn w:val="a"/>
    <w:uiPriority w:val="99"/>
    <w:qFormat/>
    <w:rsid w:val="00FF475A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Михаил</dc:creator>
  <cp:keywords/>
  <dc:description/>
  <cp:lastModifiedBy>Матвеев Михаил</cp:lastModifiedBy>
  <cp:revision>10</cp:revision>
  <dcterms:created xsi:type="dcterms:W3CDTF">2023-03-02T17:59:00Z</dcterms:created>
  <dcterms:modified xsi:type="dcterms:W3CDTF">2024-02-27T19:02:00Z</dcterms:modified>
</cp:coreProperties>
</file>