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29002" w14:textId="5AD43084" w:rsidR="005B7A73" w:rsidRPr="005B7A73" w:rsidRDefault="005B7A73" w:rsidP="00EA27DF">
      <w:pPr>
        <w:ind w:firstLine="0"/>
        <w:jc w:val="center"/>
        <w:rPr>
          <w:rFonts w:cs="Times New Roman"/>
          <w:b/>
          <w:szCs w:val="24"/>
          <w:lang w:eastAsia="ru-RU"/>
        </w:rPr>
      </w:pPr>
      <w:r w:rsidRPr="005B7A73">
        <w:rPr>
          <w:rFonts w:cs="Times New Roman"/>
          <w:b/>
          <w:szCs w:val="24"/>
          <w:lang w:eastAsia="ru-RU"/>
        </w:rPr>
        <w:t xml:space="preserve">Свойства полимерных материалов </w:t>
      </w:r>
    </w:p>
    <w:p w14:paraId="513445B9" w14:textId="73C9FEBB" w:rsidR="001127CC" w:rsidRPr="005B7A73" w:rsidRDefault="005B7A73" w:rsidP="00EA27DF">
      <w:pPr>
        <w:ind w:firstLine="0"/>
        <w:jc w:val="center"/>
        <w:rPr>
          <w:rFonts w:cs="Times New Roman"/>
          <w:b/>
          <w:szCs w:val="24"/>
          <w:lang w:eastAsia="ru-RU"/>
        </w:rPr>
      </w:pPr>
      <w:r w:rsidRPr="005B7A73">
        <w:rPr>
          <w:rFonts w:cs="Times New Roman"/>
          <w:b/>
          <w:szCs w:val="24"/>
          <w:lang w:eastAsia="ru-RU"/>
        </w:rPr>
        <w:t>на основе композиций поликапролактон-хитозан-лекарственное вещество</w:t>
      </w:r>
    </w:p>
    <w:p w14:paraId="20B15CCA" w14:textId="474E7826" w:rsidR="00AB3FE3" w:rsidRPr="005B7A73" w:rsidRDefault="00DE4419" w:rsidP="00EA27DF">
      <w:pPr>
        <w:ind w:firstLine="0"/>
        <w:jc w:val="center"/>
        <w:rPr>
          <w:rFonts w:cs="Times New Roman"/>
          <w:b/>
          <w:i/>
          <w:szCs w:val="24"/>
        </w:rPr>
      </w:pPr>
      <w:r w:rsidRPr="005B7A73">
        <w:rPr>
          <w:rFonts w:cs="Times New Roman"/>
          <w:b/>
          <w:i/>
          <w:szCs w:val="24"/>
        </w:rPr>
        <w:t>Бакирова Э.Р.</w:t>
      </w:r>
      <w:r w:rsidR="005B7A73" w:rsidRPr="005B7A73">
        <w:rPr>
          <w:rFonts w:cs="Times New Roman"/>
          <w:b/>
          <w:i/>
          <w:szCs w:val="24"/>
        </w:rPr>
        <w:t>*, Лаздин Р.Ю.</w:t>
      </w:r>
    </w:p>
    <w:p w14:paraId="4F4176D7" w14:textId="4B74B0D1" w:rsidR="00A67572" w:rsidRPr="005B7A73" w:rsidRDefault="00A67572" w:rsidP="00EA27DF">
      <w:pPr>
        <w:ind w:firstLine="0"/>
        <w:jc w:val="center"/>
        <w:rPr>
          <w:rFonts w:cs="Times New Roman"/>
          <w:i/>
          <w:szCs w:val="24"/>
        </w:rPr>
      </w:pPr>
      <w:r w:rsidRPr="005B7A73">
        <w:rPr>
          <w:rFonts w:cs="Times New Roman"/>
          <w:i/>
          <w:szCs w:val="24"/>
        </w:rPr>
        <w:t xml:space="preserve">Аспирант, </w:t>
      </w:r>
      <w:r w:rsidRPr="005B7A73">
        <w:rPr>
          <w:rFonts w:cs="Times New Roman"/>
          <w:i/>
          <w:szCs w:val="24"/>
          <w:lang w:val="en-US"/>
        </w:rPr>
        <w:t>I</w:t>
      </w:r>
      <w:r w:rsidR="00DE4419" w:rsidRPr="005B7A73">
        <w:rPr>
          <w:rFonts w:cs="Times New Roman"/>
          <w:i/>
          <w:szCs w:val="24"/>
          <w:lang w:val="en-US"/>
        </w:rPr>
        <w:t>I</w:t>
      </w:r>
      <w:r w:rsidR="005B7A73" w:rsidRPr="005B7A73">
        <w:rPr>
          <w:rFonts w:cs="Times New Roman"/>
          <w:i/>
          <w:szCs w:val="24"/>
          <w:lang w:val="en-US"/>
        </w:rPr>
        <w:t>I</w:t>
      </w:r>
      <w:r w:rsidRPr="005B7A73">
        <w:rPr>
          <w:rFonts w:cs="Times New Roman"/>
          <w:i/>
          <w:szCs w:val="24"/>
        </w:rPr>
        <w:t xml:space="preserve"> год обучения</w:t>
      </w:r>
      <w:r w:rsidR="00567DE2">
        <w:rPr>
          <w:rFonts w:cs="Times New Roman"/>
          <w:i/>
          <w:szCs w:val="24"/>
        </w:rPr>
        <w:t>*</w:t>
      </w:r>
    </w:p>
    <w:p w14:paraId="45CA6F5E" w14:textId="20A9650E" w:rsidR="00A67572" w:rsidRPr="005B7A73" w:rsidRDefault="00A67572" w:rsidP="00EA27DF">
      <w:pPr>
        <w:ind w:firstLine="0"/>
        <w:jc w:val="center"/>
        <w:rPr>
          <w:rFonts w:cs="Times New Roman"/>
          <w:i/>
          <w:szCs w:val="24"/>
        </w:rPr>
      </w:pPr>
      <w:r w:rsidRPr="005B7A73">
        <w:rPr>
          <w:rFonts w:cs="Times New Roman"/>
          <w:i/>
          <w:szCs w:val="24"/>
        </w:rPr>
        <w:t>Уфимский университет науки и технологий,</w:t>
      </w:r>
      <w:r w:rsidR="00DC5323" w:rsidRPr="005B7A73">
        <w:rPr>
          <w:rFonts w:cs="Times New Roman"/>
          <w:i/>
          <w:szCs w:val="24"/>
        </w:rPr>
        <w:t xml:space="preserve"> </w:t>
      </w:r>
      <w:r w:rsidR="00DE4419" w:rsidRPr="005B7A73">
        <w:rPr>
          <w:rFonts w:cs="Times New Roman"/>
          <w:i/>
          <w:szCs w:val="24"/>
        </w:rPr>
        <w:t>Х</w:t>
      </w:r>
      <w:r w:rsidRPr="005B7A73">
        <w:rPr>
          <w:rFonts w:cs="Times New Roman"/>
          <w:i/>
          <w:szCs w:val="24"/>
        </w:rPr>
        <w:t>имический</w:t>
      </w:r>
      <w:r w:rsidR="00745523" w:rsidRPr="005B7A73">
        <w:rPr>
          <w:rFonts w:cs="Times New Roman"/>
          <w:i/>
          <w:szCs w:val="24"/>
        </w:rPr>
        <w:t xml:space="preserve"> </w:t>
      </w:r>
      <w:r w:rsidRPr="005B7A73">
        <w:rPr>
          <w:rFonts w:cs="Times New Roman"/>
          <w:i/>
          <w:szCs w:val="24"/>
        </w:rPr>
        <w:t>факультет</w:t>
      </w:r>
      <w:r w:rsidR="00B716EE" w:rsidRPr="005B7A73">
        <w:rPr>
          <w:rFonts w:cs="Times New Roman"/>
          <w:i/>
          <w:szCs w:val="24"/>
        </w:rPr>
        <w:t>,</w:t>
      </w:r>
      <w:r w:rsidRPr="005B7A73">
        <w:rPr>
          <w:rFonts w:cs="Times New Roman"/>
          <w:i/>
          <w:szCs w:val="24"/>
        </w:rPr>
        <w:t xml:space="preserve"> Уфа</w:t>
      </w:r>
    </w:p>
    <w:p w14:paraId="556211F5" w14:textId="273E2EB1" w:rsidR="001127CC" w:rsidRPr="005B7A73" w:rsidRDefault="00B716EE" w:rsidP="00EA27DF">
      <w:pPr>
        <w:ind w:firstLine="0"/>
        <w:jc w:val="center"/>
        <w:rPr>
          <w:rFonts w:cs="Times New Roman"/>
          <w:i/>
          <w:szCs w:val="24"/>
          <w:lang w:val="en-US"/>
        </w:rPr>
      </w:pPr>
      <w:r w:rsidRPr="005B7A73">
        <w:rPr>
          <w:rFonts w:cs="Times New Roman"/>
          <w:i/>
          <w:szCs w:val="24"/>
          <w:lang w:val="en-US"/>
        </w:rPr>
        <w:t xml:space="preserve">E-mail: </w:t>
      </w:r>
      <w:hyperlink r:id="rId4" w:history="1">
        <w:r w:rsidR="001127CC" w:rsidRPr="00050F28">
          <w:rPr>
            <w:rStyle w:val="a6"/>
            <w:rFonts w:cs="Times New Roman"/>
            <w:i/>
            <w:szCs w:val="24"/>
            <w:lang w:val="en-US"/>
          </w:rPr>
          <w:t>elina_bakirova@mail.ru</w:t>
        </w:r>
      </w:hyperlink>
    </w:p>
    <w:p w14:paraId="35315B3C" w14:textId="0A1B445A" w:rsidR="005B7A73" w:rsidRPr="005B7A73" w:rsidRDefault="005B7A73" w:rsidP="00EA27DF">
      <w:pPr>
        <w:ind w:firstLine="397"/>
        <w:rPr>
          <w:rFonts w:cs="Times New Roman"/>
          <w:color w:val="000000" w:themeColor="text1" w:themeShade="80"/>
          <w:szCs w:val="28"/>
        </w:rPr>
      </w:pPr>
      <w:r w:rsidRPr="005B7A73">
        <w:rPr>
          <w:rFonts w:eastAsia="TimesNewRomanPSMT" w:cs="Times New Roman"/>
          <w:color w:val="000000" w:themeColor="text1" w:themeShade="80"/>
          <w:szCs w:val="28"/>
          <w:lang w:eastAsia="ru-RU"/>
        </w:rPr>
        <w:t>Создание современных пленочных покрытий</w:t>
      </w:r>
      <w:r w:rsidR="001127CC">
        <w:rPr>
          <w:rFonts w:eastAsia="TimesNewRomanPSMT" w:cs="Times New Roman"/>
          <w:color w:val="000000" w:themeColor="text1" w:themeShade="80"/>
          <w:szCs w:val="28"/>
          <w:lang w:eastAsia="ru-RU"/>
        </w:rPr>
        <w:t xml:space="preserve"> на основе полимеров</w:t>
      </w:r>
      <w:r w:rsidRPr="005B7A73">
        <w:rPr>
          <w:rFonts w:eastAsia="TimesNewRomanPSMT" w:cs="Times New Roman"/>
          <w:color w:val="000000" w:themeColor="text1" w:themeShade="80"/>
          <w:szCs w:val="28"/>
          <w:lang w:eastAsia="ru-RU"/>
        </w:rPr>
        <w:t>, предназначенных для защиты и лечения ран различной этиологии, сложная и многопрофильная задача. Современный рынок защитных раневых покрытий предлагает ряд материалов, в основном на основе хитозана</w:t>
      </w:r>
      <w:r>
        <w:rPr>
          <w:rFonts w:eastAsia="TimesNewRomanPSMT" w:cs="Times New Roman"/>
          <w:color w:val="000000" w:themeColor="text1" w:themeShade="80"/>
          <w:szCs w:val="28"/>
          <w:lang w:eastAsia="ru-RU"/>
        </w:rPr>
        <w:t xml:space="preserve"> (ХТЗ)</w:t>
      </w:r>
      <w:r w:rsidRPr="005B7A73">
        <w:rPr>
          <w:rFonts w:eastAsia="TimesNewRomanPSMT" w:cs="Times New Roman"/>
          <w:color w:val="000000" w:themeColor="text1" w:themeShade="80"/>
          <w:szCs w:val="28"/>
          <w:lang w:eastAsia="ru-RU"/>
        </w:rPr>
        <w:t xml:space="preserve"> и коллагена</w:t>
      </w:r>
      <w:r w:rsidRPr="005B7A73">
        <w:rPr>
          <w:rFonts w:cs="Times New Roman"/>
          <w:color w:val="000000" w:themeColor="text1" w:themeShade="80"/>
          <w:szCs w:val="28"/>
        </w:rPr>
        <w:t xml:space="preserve">. </w:t>
      </w:r>
      <w:r>
        <w:rPr>
          <w:rFonts w:eastAsia="TimesNewRomanPSMT" w:cs="Times New Roman"/>
          <w:color w:val="000000" w:themeColor="text1" w:themeShade="80"/>
          <w:szCs w:val="28"/>
          <w:lang w:eastAsia="ru-RU"/>
        </w:rPr>
        <w:t>Данные</w:t>
      </w:r>
      <w:r w:rsidRPr="005B7A73">
        <w:rPr>
          <w:rFonts w:eastAsia="TimesNewRomanPSMT" w:cs="Times New Roman"/>
          <w:color w:val="000000" w:themeColor="text1" w:themeShade="80"/>
          <w:szCs w:val="28"/>
          <w:lang w:eastAsia="ru-RU"/>
        </w:rPr>
        <w:t xml:space="preserve"> материалы </w:t>
      </w:r>
      <w:r w:rsidRPr="005B7A73">
        <w:rPr>
          <w:rFonts w:cs="Times New Roman"/>
          <w:color w:val="000000" w:themeColor="text1" w:themeShade="80"/>
          <w:szCs w:val="28"/>
        </w:rPr>
        <w:t>прекрасно зарекомендовали себя в случае поверхностных ожогов и порезов, а также неинфицированных ран. Тем не менее, для лечения глубоких ожогов, трофических язв и пролежней необходима разработка новых, усовершенствованных материалов. Таким образом, целью данной работы стало создание полимерных пленочных материалов на основе поликапролактона (</w:t>
      </w:r>
      <w:r w:rsidR="001127CC" w:rsidRPr="005B7A73">
        <w:rPr>
          <w:rFonts w:cs="Times New Roman"/>
          <w:color w:val="000000" w:themeColor="text1" w:themeShade="80"/>
          <w:szCs w:val="28"/>
        </w:rPr>
        <w:t>ПКЛ)</w:t>
      </w:r>
      <w:r w:rsidR="001127CC">
        <w:rPr>
          <w:rFonts w:cs="Times New Roman"/>
          <w:color w:val="000000" w:themeColor="text1" w:themeShade="80"/>
          <w:szCs w:val="28"/>
        </w:rPr>
        <w:t xml:space="preserve"> с ХТЗ и добавлением лекарственного вещества</w:t>
      </w:r>
      <w:r w:rsidRPr="005B7A73">
        <w:rPr>
          <w:rFonts w:cs="Times New Roman"/>
          <w:color w:val="000000" w:themeColor="text1" w:themeShade="80"/>
          <w:szCs w:val="28"/>
        </w:rPr>
        <w:t xml:space="preserve">. Выбор ПКЛ в качестве основы связан с его биосовместимостью с тканями организма и способностью к биодеструкции. В качестве гидрофильного наполнителя использовали биосовместимый, биодеградируемый полимер </w:t>
      </w:r>
      <w:r w:rsidR="001127CC">
        <w:rPr>
          <w:rFonts w:cs="Times New Roman"/>
          <w:color w:val="000000" w:themeColor="text1" w:themeShade="80"/>
          <w:szCs w:val="28"/>
        </w:rPr>
        <w:t>ХТЗ</w:t>
      </w:r>
      <w:r w:rsidRPr="005B7A73">
        <w:rPr>
          <w:rFonts w:cs="Times New Roman"/>
          <w:color w:val="000000" w:themeColor="text1" w:themeShade="80"/>
          <w:szCs w:val="28"/>
        </w:rPr>
        <w:t>, среди положительных свойств которого бактериостатичность</w:t>
      </w:r>
      <w:r w:rsidR="001127CC">
        <w:rPr>
          <w:rFonts w:cs="Times New Roman"/>
          <w:color w:val="000000" w:themeColor="text1" w:themeShade="80"/>
          <w:szCs w:val="28"/>
        </w:rPr>
        <w:t xml:space="preserve"> и </w:t>
      </w:r>
      <w:r w:rsidRPr="005B7A73">
        <w:rPr>
          <w:rFonts w:cs="Times New Roman"/>
          <w:color w:val="000000" w:themeColor="text1" w:themeShade="80"/>
          <w:szCs w:val="28"/>
        </w:rPr>
        <w:t>сокращение сроков эпителизации. В качестве модельного лекарственного средства был использован антибиотик широкого спектра действий – цефтриаксон</w:t>
      </w:r>
      <w:r w:rsidR="001127CC">
        <w:rPr>
          <w:rFonts w:cs="Times New Roman"/>
          <w:color w:val="000000" w:themeColor="text1" w:themeShade="80"/>
          <w:szCs w:val="28"/>
        </w:rPr>
        <w:t xml:space="preserve"> (ЦФТ)</w:t>
      </w:r>
      <w:r w:rsidRPr="005B7A73">
        <w:rPr>
          <w:rFonts w:cs="Times New Roman"/>
          <w:color w:val="000000" w:themeColor="text1" w:themeShade="80"/>
          <w:szCs w:val="28"/>
        </w:rPr>
        <w:t>.</w:t>
      </w:r>
    </w:p>
    <w:p w14:paraId="111CFA0D" w14:textId="3B008E7E" w:rsidR="005B7A73" w:rsidRPr="001127CC" w:rsidRDefault="005B7A73" w:rsidP="00EA27DF">
      <w:pPr>
        <w:ind w:firstLine="397"/>
        <w:rPr>
          <w:rFonts w:cs="Times New Roman"/>
          <w:color w:val="000000" w:themeColor="text1" w:themeShade="80"/>
          <w:szCs w:val="24"/>
        </w:rPr>
      </w:pPr>
      <w:r w:rsidRPr="005B7A73">
        <w:rPr>
          <w:rFonts w:cs="Times New Roman"/>
          <w:color w:val="000000" w:themeColor="text1" w:themeShade="80"/>
          <w:szCs w:val="24"/>
        </w:rPr>
        <w:t>Получение композиций на основе ПКЛ осуществляли на лабораторном пластографе (</w:t>
      </w:r>
      <w:r w:rsidRPr="005B7A73">
        <w:rPr>
          <w:rFonts w:cs="Times New Roman"/>
          <w:color w:val="000000" w:themeColor="text1" w:themeShade="80"/>
          <w:szCs w:val="24"/>
          <w:lang w:val="en-US"/>
        </w:rPr>
        <w:t>Brabener</w:t>
      </w:r>
      <w:r w:rsidRPr="005B7A73">
        <w:rPr>
          <w:rFonts w:cs="Times New Roman"/>
          <w:color w:val="000000" w:themeColor="text1" w:themeShade="80"/>
          <w:szCs w:val="24"/>
        </w:rPr>
        <w:t xml:space="preserve">, США). После процесса пластикации образцы композитов помещались в автоматический гидравлический пресс (Carver, США) для формирования пленок. </w:t>
      </w:r>
      <w:r w:rsidRPr="005B7A73">
        <w:rPr>
          <w:rFonts w:cs="Times New Roman"/>
          <w:color w:val="000000" w:themeColor="text1"/>
          <w:szCs w:val="24"/>
        </w:rPr>
        <w:t xml:space="preserve">Определенное количество ЛВ равномерно распределялось в навеске ХТЗ, после чего смесь ХТЗ-ЛВ вводилась в ПКЛ. </w:t>
      </w:r>
      <w:r w:rsidRPr="005B7A73">
        <w:rPr>
          <w:rFonts w:cs="Times New Roman"/>
          <w:color w:val="000000" w:themeColor="text1" w:themeShade="80"/>
          <w:szCs w:val="24"/>
        </w:rPr>
        <w:t>Испытания получаемых материалов на разрыв проводили на универсальной испытательной машине (Shimadzu, Япония). Опыты по сорбции воды пленками проводили при 100% влажности в термостатируемых условиях.</w:t>
      </w:r>
      <w:r w:rsidR="001127CC">
        <w:rPr>
          <w:rFonts w:cs="Times New Roman"/>
          <w:color w:val="000000" w:themeColor="text1" w:themeShade="80"/>
          <w:szCs w:val="24"/>
        </w:rPr>
        <w:t xml:space="preserve"> </w:t>
      </w:r>
      <w:r w:rsidRPr="005B7A73">
        <w:rPr>
          <w:rFonts w:eastAsia="TimesNewRomanPSMT" w:cs="Times New Roman"/>
          <w:color w:val="000000" w:themeColor="text1" w:themeShade="80"/>
          <w:szCs w:val="24"/>
        </w:rPr>
        <w:t>Кинетику высвобождения лекарственных веществ</w:t>
      </w:r>
      <w:r w:rsidRPr="005B7A73">
        <w:rPr>
          <w:rFonts w:cs="Times New Roman"/>
          <w:b/>
          <w:bCs/>
          <w:i/>
          <w:iCs/>
          <w:color w:val="000000" w:themeColor="text1" w:themeShade="80"/>
          <w:szCs w:val="24"/>
        </w:rPr>
        <w:t xml:space="preserve"> </w:t>
      </w:r>
      <w:r w:rsidRPr="005B7A73">
        <w:rPr>
          <w:rFonts w:cs="Times New Roman"/>
          <w:bCs/>
          <w:iCs/>
          <w:color w:val="000000" w:themeColor="text1" w:themeShade="80"/>
          <w:szCs w:val="24"/>
        </w:rPr>
        <w:t xml:space="preserve">из пленок в водную среду </w:t>
      </w:r>
      <w:r w:rsidRPr="005B7A73">
        <w:rPr>
          <w:rFonts w:eastAsia="TimesNewRomanPSMT" w:cs="Times New Roman"/>
          <w:color w:val="000000" w:themeColor="text1" w:themeShade="80"/>
          <w:szCs w:val="24"/>
        </w:rPr>
        <w:t>изучали методом УФ-спектрофотометрии в области максимума поглощения</w:t>
      </w:r>
      <w:r w:rsidRPr="005B7A73">
        <w:rPr>
          <w:rFonts w:cs="Times New Roman"/>
          <w:bCs/>
          <w:iCs/>
          <w:color w:val="000000" w:themeColor="text1" w:themeShade="80"/>
          <w:szCs w:val="24"/>
        </w:rPr>
        <w:t xml:space="preserve"> </w:t>
      </w:r>
      <w:r w:rsidRPr="005B7A73">
        <w:rPr>
          <w:rFonts w:eastAsia="TimesNewRomanPSMT" w:cs="Times New Roman"/>
          <w:color w:val="000000" w:themeColor="text1" w:themeShade="80"/>
          <w:szCs w:val="24"/>
        </w:rPr>
        <w:t>ЛВ</w:t>
      </w:r>
      <w:r w:rsidR="001127CC">
        <w:rPr>
          <w:rFonts w:cs="Times New Roman"/>
          <w:bCs/>
          <w:iCs/>
          <w:color w:val="000000" w:themeColor="text1" w:themeShade="80"/>
          <w:szCs w:val="24"/>
        </w:rPr>
        <w:t xml:space="preserve">. </w:t>
      </w:r>
      <w:r w:rsidRPr="005B7A73">
        <w:rPr>
          <w:rFonts w:cs="Times New Roman"/>
          <w:color w:val="000000" w:themeColor="text1" w:themeShade="80"/>
          <w:szCs w:val="24"/>
        </w:rPr>
        <w:t>Микробиологическая активность оценивалась по подавлению зоны роста образцами исследуемых композиций ПКЛ-ХТЗ золотистого стафиллокока (</w:t>
      </w:r>
      <w:r w:rsidRPr="005B7A73">
        <w:rPr>
          <w:rFonts w:cs="Times New Roman"/>
          <w:bCs/>
          <w:color w:val="000000" w:themeColor="text1" w:themeShade="80"/>
          <w:szCs w:val="24"/>
        </w:rPr>
        <w:t xml:space="preserve">Staphylococcus aureus) и синегнойной палочки (Pseudomonas aeruginosa). </w:t>
      </w:r>
      <w:r w:rsidRPr="005B7A73">
        <w:rPr>
          <w:rFonts w:cs="Times New Roman"/>
          <w:szCs w:val="24"/>
        </w:rPr>
        <w:t>Для изучения гидролиза полимерных композиций, исследуемые образцы известной массы помещали в физиологический раствор и выдерживали в течении длительного времени при комнатной температуре.</w:t>
      </w:r>
    </w:p>
    <w:p w14:paraId="14919150" w14:textId="6BE0F97A" w:rsidR="00D81C9B" w:rsidRPr="001127CC" w:rsidRDefault="001127CC" w:rsidP="00EA27DF">
      <w:pPr>
        <w:ind w:firstLine="397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В ходе проделанной работы д</w:t>
      </w:r>
      <w:r w:rsidR="005B7A73" w:rsidRPr="003B1470">
        <w:rPr>
          <w:bCs/>
          <w:color w:val="000000"/>
          <w:szCs w:val="24"/>
        </w:rPr>
        <w:t>оказано, что пленочные ма</w:t>
      </w:r>
      <w:r w:rsidR="005B7A73">
        <w:rPr>
          <w:bCs/>
          <w:color w:val="000000"/>
          <w:szCs w:val="24"/>
        </w:rPr>
        <w:t>териалы на основе</w:t>
      </w:r>
      <w:r>
        <w:rPr>
          <w:bCs/>
          <w:color w:val="000000"/>
          <w:szCs w:val="24"/>
        </w:rPr>
        <w:t xml:space="preserve"> ПКЛ</w:t>
      </w:r>
      <w:r w:rsidR="005B7A73" w:rsidRPr="003B1470">
        <w:rPr>
          <w:bCs/>
          <w:color w:val="000000"/>
          <w:szCs w:val="24"/>
        </w:rPr>
        <w:t xml:space="preserve">, </w:t>
      </w:r>
      <w:r>
        <w:rPr>
          <w:bCs/>
          <w:color w:val="000000"/>
          <w:szCs w:val="24"/>
        </w:rPr>
        <w:t>ХТЗ</w:t>
      </w:r>
      <w:r w:rsidR="005B7A73" w:rsidRPr="003B1470">
        <w:rPr>
          <w:bCs/>
          <w:color w:val="000000"/>
          <w:szCs w:val="24"/>
        </w:rPr>
        <w:t xml:space="preserve"> и </w:t>
      </w:r>
      <w:r>
        <w:rPr>
          <w:bCs/>
          <w:color w:val="000000"/>
          <w:szCs w:val="24"/>
        </w:rPr>
        <w:t>ЦФТ</w:t>
      </w:r>
      <w:r w:rsidR="005B7A73" w:rsidRPr="003B1470">
        <w:rPr>
          <w:bCs/>
          <w:color w:val="000000"/>
          <w:szCs w:val="24"/>
        </w:rPr>
        <w:t xml:space="preserve"> характеризуются микробиологической активностью в отношении Staphylococcus aureus и Pseudomonas aeruginosa на уровне исходной активности лекарственного вещества. </w:t>
      </w:r>
      <w:r w:rsidR="005B7A73" w:rsidRPr="003B1470">
        <w:rPr>
          <w:color w:val="000000" w:themeColor="text1" w:themeShade="80"/>
          <w:szCs w:val="24"/>
        </w:rPr>
        <w:t xml:space="preserve">Установлено, что наличие </w:t>
      </w:r>
      <w:r>
        <w:rPr>
          <w:color w:val="000000" w:themeColor="text1" w:themeShade="80"/>
          <w:szCs w:val="24"/>
        </w:rPr>
        <w:t>ХТЗ</w:t>
      </w:r>
      <w:r w:rsidR="005B7A73" w:rsidRPr="003B1470">
        <w:rPr>
          <w:color w:val="000000" w:themeColor="text1" w:themeShade="80"/>
          <w:szCs w:val="24"/>
        </w:rPr>
        <w:t xml:space="preserve"> в композиции приводит к усилению влагопоглощающей способности материала</w:t>
      </w:r>
      <w:r w:rsidR="005B7A73" w:rsidRPr="003B1470">
        <w:rPr>
          <w:szCs w:val="24"/>
          <w:lang w:eastAsia="ru-RU"/>
        </w:rPr>
        <w:t xml:space="preserve"> и ускоренной гидролитической деструкци</w:t>
      </w:r>
      <w:r>
        <w:rPr>
          <w:szCs w:val="24"/>
          <w:lang w:eastAsia="ru-RU"/>
        </w:rPr>
        <w:t>и</w:t>
      </w:r>
      <w:r w:rsidR="005B7A73">
        <w:rPr>
          <w:color w:val="000000" w:themeColor="text1" w:themeShade="80"/>
          <w:szCs w:val="24"/>
        </w:rPr>
        <w:t>.</w:t>
      </w:r>
      <w:r>
        <w:rPr>
          <w:color w:val="000000" w:themeColor="text1" w:themeShade="80"/>
          <w:szCs w:val="24"/>
        </w:rPr>
        <w:t xml:space="preserve"> </w:t>
      </w:r>
      <w:r w:rsidR="005B7A73" w:rsidRPr="003B1470">
        <w:rPr>
          <w:color w:val="000000" w:themeColor="text1" w:themeShade="80"/>
          <w:szCs w:val="24"/>
        </w:rPr>
        <w:t xml:space="preserve">Доказано, что, регулируя содержание </w:t>
      </w:r>
      <w:r>
        <w:rPr>
          <w:color w:val="000000" w:themeColor="text1" w:themeShade="80"/>
          <w:szCs w:val="24"/>
        </w:rPr>
        <w:t>ЦФТ и ХТЗ</w:t>
      </w:r>
      <w:r w:rsidR="005B7A73" w:rsidRPr="003B1470">
        <w:rPr>
          <w:color w:val="000000" w:themeColor="text1" w:themeShade="80"/>
          <w:szCs w:val="24"/>
        </w:rPr>
        <w:t xml:space="preserve"> в композиции на основе </w:t>
      </w:r>
      <w:r>
        <w:rPr>
          <w:color w:val="000000" w:themeColor="text1" w:themeShade="80"/>
          <w:szCs w:val="24"/>
        </w:rPr>
        <w:t>ПКЛ</w:t>
      </w:r>
      <w:r w:rsidR="005B7A73" w:rsidRPr="003B1470">
        <w:rPr>
          <w:color w:val="000000" w:themeColor="text1" w:themeShade="80"/>
          <w:szCs w:val="24"/>
        </w:rPr>
        <w:t xml:space="preserve"> можно регулировать скорость выхода лекарственного вещества из пленочного покрытия. Чем больше </w:t>
      </w:r>
      <w:r>
        <w:rPr>
          <w:color w:val="000000" w:themeColor="text1" w:themeShade="80"/>
          <w:szCs w:val="24"/>
        </w:rPr>
        <w:t>ХТЗ и ЦФТ</w:t>
      </w:r>
      <w:r w:rsidR="005B7A73" w:rsidRPr="003B1470">
        <w:rPr>
          <w:color w:val="000000" w:themeColor="text1" w:themeShade="80"/>
          <w:szCs w:val="24"/>
        </w:rPr>
        <w:t xml:space="preserve"> находится в композиции, тем быстрее выходит лекарственное вещество из материала.  Показано, что наличие </w:t>
      </w:r>
      <w:r>
        <w:rPr>
          <w:color w:val="000000" w:themeColor="text1" w:themeShade="80"/>
          <w:szCs w:val="24"/>
        </w:rPr>
        <w:t>ХТЗ</w:t>
      </w:r>
      <w:r w:rsidR="005B7A73" w:rsidRPr="003B1470">
        <w:rPr>
          <w:color w:val="000000" w:themeColor="text1" w:themeShade="80"/>
          <w:szCs w:val="24"/>
        </w:rPr>
        <w:t xml:space="preserve"> в композиции сопровождается увеличением модуля упругости, уменьшением прочности, а также существенным уменьшением значений разрывного удлинения по сравнению с пленками </w:t>
      </w:r>
      <w:r w:rsidRPr="003B1470">
        <w:rPr>
          <w:color w:val="000000" w:themeColor="text1" w:themeShade="80"/>
          <w:szCs w:val="24"/>
        </w:rPr>
        <w:t>индивидуального</w:t>
      </w:r>
      <w:r w:rsidR="005B7A73" w:rsidRPr="003B1470">
        <w:rPr>
          <w:color w:val="000000" w:themeColor="text1" w:themeShade="80"/>
          <w:szCs w:val="24"/>
        </w:rPr>
        <w:t xml:space="preserve"> </w:t>
      </w:r>
      <w:r>
        <w:rPr>
          <w:color w:val="000000" w:themeColor="text1" w:themeShade="80"/>
          <w:szCs w:val="24"/>
        </w:rPr>
        <w:t>ПКЛ.</w:t>
      </w:r>
      <w:r w:rsidR="005B7A73" w:rsidRPr="003B1470">
        <w:rPr>
          <w:color w:val="000000" w:themeColor="text1" w:themeShade="80"/>
          <w:szCs w:val="24"/>
        </w:rPr>
        <w:t xml:space="preserve"> </w:t>
      </w:r>
    </w:p>
    <w:sectPr w:rsidR="00D81C9B" w:rsidRPr="001127CC" w:rsidSect="00AB3FE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AE"/>
    <w:rsid w:val="00052DDF"/>
    <w:rsid w:val="00105E2D"/>
    <w:rsid w:val="001127CC"/>
    <w:rsid w:val="00126AD0"/>
    <w:rsid w:val="0017105D"/>
    <w:rsid w:val="001948A1"/>
    <w:rsid w:val="001B675F"/>
    <w:rsid w:val="001C1758"/>
    <w:rsid w:val="001D2C8D"/>
    <w:rsid w:val="001E2A79"/>
    <w:rsid w:val="00217CC2"/>
    <w:rsid w:val="002257A7"/>
    <w:rsid w:val="00275F56"/>
    <w:rsid w:val="002B5BF3"/>
    <w:rsid w:val="002C2FAE"/>
    <w:rsid w:val="002D0AE9"/>
    <w:rsid w:val="00324CC5"/>
    <w:rsid w:val="0035427F"/>
    <w:rsid w:val="00364DBC"/>
    <w:rsid w:val="003767D8"/>
    <w:rsid w:val="003E48EF"/>
    <w:rsid w:val="00441B26"/>
    <w:rsid w:val="00443EB8"/>
    <w:rsid w:val="00450745"/>
    <w:rsid w:val="00461E85"/>
    <w:rsid w:val="0046399D"/>
    <w:rsid w:val="00464C25"/>
    <w:rsid w:val="004B78D9"/>
    <w:rsid w:val="00537173"/>
    <w:rsid w:val="00550047"/>
    <w:rsid w:val="00567DE2"/>
    <w:rsid w:val="0057512D"/>
    <w:rsid w:val="005B7A73"/>
    <w:rsid w:val="00626E0A"/>
    <w:rsid w:val="00647C85"/>
    <w:rsid w:val="00656E04"/>
    <w:rsid w:val="00677F8A"/>
    <w:rsid w:val="006A6457"/>
    <w:rsid w:val="006F3ACD"/>
    <w:rsid w:val="006F792B"/>
    <w:rsid w:val="00745523"/>
    <w:rsid w:val="00754DD6"/>
    <w:rsid w:val="007B0C31"/>
    <w:rsid w:val="007D228D"/>
    <w:rsid w:val="007E0A70"/>
    <w:rsid w:val="007F71F6"/>
    <w:rsid w:val="00813BF3"/>
    <w:rsid w:val="00836A40"/>
    <w:rsid w:val="00904CE7"/>
    <w:rsid w:val="00913085"/>
    <w:rsid w:val="009A56D1"/>
    <w:rsid w:val="00A45B86"/>
    <w:rsid w:val="00A67572"/>
    <w:rsid w:val="00AB3FE3"/>
    <w:rsid w:val="00AC187C"/>
    <w:rsid w:val="00AF141E"/>
    <w:rsid w:val="00B16759"/>
    <w:rsid w:val="00B716EE"/>
    <w:rsid w:val="00BD5B45"/>
    <w:rsid w:val="00C36132"/>
    <w:rsid w:val="00C410C3"/>
    <w:rsid w:val="00CD07A9"/>
    <w:rsid w:val="00D14909"/>
    <w:rsid w:val="00D65031"/>
    <w:rsid w:val="00D81C9B"/>
    <w:rsid w:val="00DA3C4F"/>
    <w:rsid w:val="00DA6F91"/>
    <w:rsid w:val="00DC5323"/>
    <w:rsid w:val="00DE2B72"/>
    <w:rsid w:val="00DE4419"/>
    <w:rsid w:val="00E762F4"/>
    <w:rsid w:val="00EA27DF"/>
    <w:rsid w:val="00F45F01"/>
    <w:rsid w:val="00FB7D5A"/>
    <w:rsid w:val="00FD11EF"/>
    <w:rsid w:val="00FF5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DE667"/>
  <w15:docId w15:val="{6B093177-0477-46F4-8CDF-030FFD1A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AC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0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5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C36132"/>
    <w:rPr>
      <w:color w:val="808080"/>
    </w:rPr>
  </w:style>
  <w:style w:type="character" w:styleId="a6">
    <w:name w:val="Hyperlink"/>
    <w:basedOn w:val="a0"/>
    <w:uiPriority w:val="99"/>
    <w:unhideWhenUsed/>
    <w:rsid w:val="005B7A7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B7A73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5B7A73"/>
    <w:pPr>
      <w:suppressAutoHyphens/>
      <w:ind w:firstLine="0"/>
      <w:jc w:val="left"/>
    </w:pPr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5B7A73"/>
    <w:rPr>
      <w:rFonts w:ascii="Consolas" w:eastAsia="Times New Roman" w:hAnsi="Consolas" w:cs="Consolas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ina_baki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Афанасьева</dc:creator>
  <cp:lastModifiedBy>Элина</cp:lastModifiedBy>
  <cp:revision>2</cp:revision>
  <dcterms:created xsi:type="dcterms:W3CDTF">2024-02-11T13:43:00Z</dcterms:created>
  <dcterms:modified xsi:type="dcterms:W3CDTF">2024-02-11T13:43:00Z</dcterms:modified>
</cp:coreProperties>
</file>