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100A9" w14:textId="77777777" w:rsidR="00EE6D7B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2573C">
        <w:rPr>
          <w:b/>
          <w:color w:val="000000"/>
        </w:rPr>
        <w:t xml:space="preserve">Термодинамика адсорбции </w:t>
      </w:r>
      <w:r>
        <w:rPr>
          <w:b/>
          <w:color w:val="000000"/>
        </w:rPr>
        <w:t>орга</w:t>
      </w:r>
      <w:r w:rsidRPr="0092573C">
        <w:rPr>
          <w:b/>
          <w:color w:val="000000"/>
        </w:rPr>
        <w:t xml:space="preserve">нических </w:t>
      </w:r>
      <w:r>
        <w:rPr>
          <w:b/>
          <w:color w:val="000000"/>
        </w:rPr>
        <w:t xml:space="preserve">соединений различной геометрии и </w:t>
      </w:r>
      <w:r w:rsidRPr="0092573C">
        <w:rPr>
          <w:b/>
          <w:color w:val="000000"/>
        </w:rPr>
        <w:t>функциональн</w:t>
      </w:r>
      <w:r>
        <w:rPr>
          <w:b/>
          <w:color w:val="000000"/>
        </w:rPr>
        <w:t>ой принадлежности н</w:t>
      </w:r>
      <w:r w:rsidRPr="0092573C">
        <w:rPr>
          <w:b/>
          <w:color w:val="000000"/>
        </w:rPr>
        <w:t xml:space="preserve">а поверхности </w:t>
      </w:r>
      <w:proofErr w:type="spellStart"/>
      <w:r w:rsidRPr="0092573C">
        <w:rPr>
          <w:b/>
          <w:i/>
          <w:iCs/>
          <w:color w:val="000000"/>
          <w:lang w:val="en-US"/>
        </w:rPr>
        <w:t>sp</w:t>
      </w:r>
      <w:proofErr w:type="spellEnd"/>
      <w:r w:rsidRPr="0092573C">
        <w:rPr>
          <w:b/>
          <w:i/>
          <w:iCs/>
          <w:color w:val="000000"/>
          <w:vertAlign w:val="superscript"/>
        </w:rPr>
        <w:t>2</w:t>
      </w:r>
      <w:r w:rsidRPr="0092573C">
        <w:rPr>
          <w:b/>
          <w:color w:val="000000"/>
        </w:rPr>
        <w:t>-гибридных форм углерода</w:t>
      </w:r>
    </w:p>
    <w:p w14:paraId="69E30D76" w14:textId="77777777" w:rsidR="00EE6D7B" w:rsidRPr="00A9007F" w:rsidRDefault="00EE6D7B" w:rsidP="00EE6D7B">
      <w:pPr>
        <w:jc w:val="center"/>
        <w:rPr>
          <w:bCs/>
          <w:i/>
          <w:iCs/>
        </w:rPr>
      </w:pPr>
      <w:r w:rsidRPr="001756EF">
        <w:rPr>
          <w:b/>
          <w:i/>
          <w:iCs/>
        </w:rPr>
        <w:t>Дмитриев Д.Н.</w:t>
      </w:r>
      <w:r w:rsidRPr="001756EF">
        <w:rPr>
          <w:b/>
          <w:i/>
          <w:iCs/>
          <w:vertAlign w:val="superscript"/>
        </w:rPr>
        <w:t>1,3</w:t>
      </w:r>
      <w:r w:rsidRPr="001756EF">
        <w:rPr>
          <w:b/>
        </w:rPr>
        <w:t xml:space="preserve">, </w:t>
      </w:r>
      <w:r w:rsidRPr="00D92FF4">
        <w:rPr>
          <w:b/>
          <w:i/>
          <w:iCs/>
        </w:rPr>
        <w:t>Яшкин С.Н.</w:t>
      </w:r>
      <w:r w:rsidRPr="00D92FF4">
        <w:rPr>
          <w:b/>
          <w:i/>
          <w:iCs/>
          <w:vertAlign w:val="superscript"/>
        </w:rPr>
        <w:t>2,3</w:t>
      </w:r>
      <w:r w:rsidRPr="00D92FF4">
        <w:rPr>
          <w:b/>
          <w:i/>
          <w:iCs/>
        </w:rPr>
        <w:t>, Попов А.С.</w:t>
      </w:r>
      <w:r w:rsidRPr="00D92FF4">
        <w:rPr>
          <w:b/>
          <w:i/>
          <w:iCs/>
          <w:vertAlign w:val="superscript"/>
        </w:rPr>
        <w:t>1</w:t>
      </w:r>
      <w:r>
        <w:rPr>
          <w:b/>
          <w:i/>
          <w:iCs/>
        </w:rPr>
        <w:t>, Пирогов А.В.</w:t>
      </w:r>
      <w:r w:rsidRPr="00A9007F">
        <w:rPr>
          <w:b/>
          <w:i/>
          <w:iCs/>
          <w:vertAlign w:val="superscript"/>
        </w:rPr>
        <w:t>1</w:t>
      </w:r>
      <w:r>
        <w:rPr>
          <w:b/>
          <w:i/>
          <w:iCs/>
        </w:rPr>
        <w:t>, Шпигун О.А.</w:t>
      </w:r>
      <w:r>
        <w:rPr>
          <w:b/>
          <w:i/>
          <w:iCs/>
          <w:vertAlign w:val="superscript"/>
        </w:rPr>
        <w:t>1</w:t>
      </w:r>
    </w:p>
    <w:p w14:paraId="46885F4E" w14:textId="77777777" w:rsidR="00EE6D7B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Студент,2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78BCFB57" w14:textId="77777777" w:rsidR="00EE6D7B" w:rsidRPr="00921D45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050327CE" w14:textId="77777777" w:rsidR="00EE6D7B" w:rsidRPr="00391C38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651AAC3A" w14:textId="77777777" w:rsidR="00EE6D7B" w:rsidRDefault="00EE6D7B" w:rsidP="00EE6D7B">
      <w:pPr>
        <w:jc w:val="center"/>
        <w:rPr>
          <w:bCs/>
          <w:i/>
          <w:iCs/>
        </w:rPr>
      </w:pPr>
      <w:r>
        <w:rPr>
          <w:i/>
          <w:color w:val="000000"/>
          <w:vertAlign w:val="superscript"/>
        </w:rPr>
        <w:t>2</w:t>
      </w:r>
      <w:r w:rsidRPr="00D92FF4">
        <w:rPr>
          <w:bCs/>
          <w:i/>
          <w:iCs/>
        </w:rPr>
        <w:t xml:space="preserve"> </w:t>
      </w:r>
      <w:r w:rsidRPr="00CF7C35">
        <w:rPr>
          <w:bCs/>
          <w:i/>
          <w:iCs/>
        </w:rPr>
        <w:t>Самарский государственный технический университет, Самара, Россия</w:t>
      </w:r>
    </w:p>
    <w:p w14:paraId="4B4E1538" w14:textId="77777777" w:rsidR="00EE6D7B" w:rsidRPr="00CF7C35" w:rsidRDefault="00EE6D7B" w:rsidP="00EE6D7B">
      <w:pPr>
        <w:jc w:val="center"/>
        <w:rPr>
          <w:bCs/>
          <w:i/>
          <w:iCs/>
        </w:rPr>
      </w:pPr>
      <w:r>
        <w:rPr>
          <w:bCs/>
          <w:i/>
          <w:iCs/>
          <w:vertAlign w:val="superscript"/>
        </w:rPr>
        <w:t>3</w:t>
      </w:r>
      <w:r w:rsidRPr="00CF7C35">
        <w:rPr>
          <w:bCs/>
          <w:i/>
          <w:iCs/>
        </w:rPr>
        <w:t>Самарский региональный центр для одарённых детей, Самара, Россия</w:t>
      </w:r>
    </w:p>
    <w:p w14:paraId="0D90F19E" w14:textId="77777777" w:rsidR="00EE6D7B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F7C35">
        <w:rPr>
          <w:bCs/>
          <w:i/>
          <w:iCs/>
          <w:lang w:val="en-US"/>
        </w:rPr>
        <w:t>E</w:t>
      </w:r>
      <w:r w:rsidRPr="00A87674">
        <w:rPr>
          <w:bCs/>
          <w:i/>
          <w:iCs/>
        </w:rPr>
        <w:t>-</w:t>
      </w:r>
      <w:r w:rsidRPr="00CF7C35">
        <w:rPr>
          <w:bCs/>
          <w:i/>
          <w:iCs/>
          <w:lang w:val="en-US"/>
        </w:rPr>
        <w:t>mail</w:t>
      </w:r>
      <w:r w:rsidRPr="00A87674">
        <w:rPr>
          <w:bCs/>
          <w:i/>
          <w:iCs/>
        </w:rPr>
        <w:t xml:space="preserve">: </w:t>
      </w:r>
      <w:hyperlink r:id="rId7" w:history="1">
        <w:r w:rsidRPr="00FF6E0C">
          <w:rPr>
            <w:bCs/>
            <w:i/>
            <w:iCs/>
            <w:color w:val="000000" w:themeColor="text1"/>
            <w:u w:val="single"/>
            <w:lang w:val="en-US"/>
          </w:rPr>
          <w:t>ddn</w:t>
        </w:r>
        <w:r w:rsidRPr="00FF6E0C">
          <w:rPr>
            <w:bCs/>
            <w:i/>
            <w:iCs/>
            <w:color w:val="000000" w:themeColor="text1"/>
            <w:u w:val="single"/>
          </w:rPr>
          <w:t>063@</w:t>
        </w:r>
        <w:r w:rsidRPr="00FF6E0C">
          <w:rPr>
            <w:bCs/>
            <w:i/>
            <w:iCs/>
            <w:color w:val="000000" w:themeColor="text1"/>
            <w:u w:val="single"/>
            <w:lang w:val="en-US"/>
          </w:rPr>
          <w:t>gmail</w:t>
        </w:r>
        <w:r w:rsidRPr="00FF6E0C">
          <w:rPr>
            <w:bCs/>
            <w:i/>
            <w:iCs/>
            <w:color w:val="000000" w:themeColor="text1"/>
            <w:u w:val="single"/>
          </w:rPr>
          <w:t>.</w:t>
        </w:r>
        <w:r w:rsidRPr="00FF6E0C">
          <w:rPr>
            <w:bCs/>
            <w:i/>
            <w:iCs/>
            <w:color w:val="000000" w:themeColor="text1"/>
            <w:u w:val="single"/>
            <w:lang w:val="en-US"/>
          </w:rPr>
          <w:t>com</w:t>
        </w:r>
      </w:hyperlink>
    </w:p>
    <w:p w14:paraId="0C91FFEF" w14:textId="77777777" w:rsidR="00EE6D7B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Углеродные адсорбенты (графит, алмаз, фуллерены, </w:t>
      </w:r>
      <w:proofErr w:type="spellStart"/>
      <w:r>
        <w:rPr>
          <w:color w:val="000000"/>
        </w:rPr>
        <w:t>нанотрубки</w:t>
      </w:r>
      <w:proofErr w:type="spellEnd"/>
      <w:r>
        <w:rPr>
          <w:color w:val="000000"/>
        </w:rPr>
        <w:t xml:space="preserve"> и др.) занимают лидирующее положение в адсорбционной хроматографии благодаря самым высоким показателям структурной селективности и адсорбционной емкости. </w:t>
      </w:r>
      <w:proofErr w:type="gramStart"/>
      <w:r>
        <w:rPr>
          <w:color w:val="000000"/>
        </w:rPr>
        <w:t xml:space="preserve">Именно сочетание высоких химической и термической устойчивостей определяет удобные эксплуатационные характеристики данных материалов в качестве </w:t>
      </w:r>
      <w:proofErr w:type="spellStart"/>
      <w:r>
        <w:rPr>
          <w:color w:val="000000"/>
        </w:rPr>
        <w:t>хроматографических</w:t>
      </w:r>
      <w:proofErr w:type="spellEnd"/>
      <w:r>
        <w:rPr>
          <w:color w:val="000000"/>
        </w:rPr>
        <w:t xml:space="preserve"> сорбентов.</w:t>
      </w:r>
      <w:proofErr w:type="gramEnd"/>
      <w:r>
        <w:rPr>
          <w:color w:val="000000"/>
        </w:rPr>
        <w:t xml:space="preserve"> В продолжение проводимых нами исследований </w:t>
      </w:r>
      <w:r w:rsidRPr="00904F92">
        <w:rPr>
          <w:color w:val="000000"/>
        </w:rPr>
        <w:t>[1</w:t>
      </w:r>
      <w:r w:rsidRPr="006C1EB3">
        <w:rPr>
          <w:color w:val="000000"/>
        </w:rPr>
        <w:t>,2</w:t>
      </w:r>
      <w:r w:rsidRPr="00904F92">
        <w:rPr>
          <w:color w:val="000000"/>
        </w:rPr>
        <w:t>]</w:t>
      </w:r>
      <w:r>
        <w:rPr>
          <w:color w:val="000000"/>
        </w:rPr>
        <w:t xml:space="preserve">, представлял интерес сравнительный анализ величин ТХА различных по электронному и пространственному строению молекул органических </w:t>
      </w:r>
      <w:proofErr w:type="spellStart"/>
      <w:r>
        <w:rPr>
          <w:color w:val="000000"/>
        </w:rPr>
        <w:t>адсорбатов</w:t>
      </w:r>
      <w:proofErr w:type="spellEnd"/>
      <w:r>
        <w:rPr>
          <w:color w:val="000000"/>
        </w:rPr>
        <w:t xml:space="preserve">, полученных при адсорбции на различных аллотропных модификациях углерода в условиях газовой хроматографии. Кроме того, представляло интерес изучение влияния кривизны и фрактальной размерности поверхности кристаллов </w:t>
      </w:r>
      <w:r w:rsidRPr="00DF2F33">
        <w:rPr>
          <w:iCs/>
          <w:color w:val="000000"/>
        </w:rPr>
        <w:t>С</w:t>
      </w:r>
      <w:r w:rsidRPr="00DF2F33">
        <w:rPr>
          <w:iCs/>
          <w:color w:val="000000"/>
          <w:vertAlign w:val="subscript"/>
        </w:rPr>
        <w:t>60</w:t>
      </w:r>
      <w:r w:rsidRPr="00DF2F33">
        <w:rPr>
          <w:color w:val="000000"/>
        </w:rPr>
        <w:t xml:space="preserve"> и </w:t>
      </w:r>
      <w:r w:rsidRPr="00DF2F33">
        <w:rPr>
          <w:iCs/>
          <w:color w:val="000000"/>
        </w:rPr>
        <w:t>С</w:t>
      </w:r>
      <w:r w:rsidRPr="00DF2F33">
        <w:rPr>
          <w:iCs/>
          <w:color w:val="000000"/>
          <w:vertAlign w:val="subscript"/>
        </w:rPr>
        <w:t>70</w:t>
      </w:r>
      <w:r>
        <w:rPr>
          <w:color w:val="000000"/>
        </w:rPr>
        <w:t xml:space="preserve"> на ТХА различных классов органических соединений и на характер межмолекулярных взаимодействий «</w:t>
      </w:r>
      <w:proofErr w:type="spellStart"/>
      <w:r>
        <w:rPr>
          <w:color w:val="000000"/>
        </w:rPr>
        <w:t>адсорбат</w:t>
      </w:r>
      <w:proofErr w:type="spellEnd"/>
      <w:r>
        <w:rPr>
          <w:color w:val="000000"/>
        </w:rPr>
        <w:t>-поверхность кристалла фуллерена».</w:t>
      </w:r>
    </w:p>
    <w:p w14:paraId="58143CE1" w14:textId="77777777" w:rsidR="00EE6D7B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Хроматографические</w:t>
      </w:r>
      <w:proofErr w:type="spellEnd"/>
      <w:r>
        <w:rPr>
          <w:color w:val="000000"/>
        </w:rPr>
        <w:t xml:space="preserve"> измерения проводили на хроматографах «</w:t>
      </w:r>
      <w:proofErr w:type="spellStart"/>
      <w:r>
        <w:rPr>
          <w:color w:val="000000"/>
        </w:rPr>
        <w:t>Хроматэк</w:t>
      </w:r>
      <w:proofErr w:type="spellEnd"/>
      <w:r>
        <w:rPr>
          <w:color w:val="000000"/>
        </w:rPr>
        <w:t>-Кристалл» и «</w:t>
      </w:r>
      <w:proofErr w:type="spellStart"/>
      <w:r>
        <w:rPr>
          <w:color w:val="000000"/>
        </w:rPr>
        <w:t>Хромос</w:t>
      </w:r>
      <w:proofErr w:type="spellEnd"/>
      <w:r>
        <w:rPr>
          <w:color w:val="000000"/>
        </w:rPr>
        <w:t xml:space="preserve">» с ПИД в изотермическом режиме в широком интервале температур. Газами-носителями служили гелий и азот. Применяли стеклянные </w:t>
      </w:r>
      <w:proofErr w:type="spellStart"/>
      <w:r>
        <w:rPr>
          <w:color w:val="000000"/>
        </w:rPr>
        <w:t>микронасадочные</w:t>
      </w:r>
      <w:proofErr w:type="spellEnd"/>
      <w:r>
        <w:rPr>
          <w:color w:val="000000"/>
        </w:rPr>
        <w:t xml:space="preserve"> колонки (70 см </w:t>
      </w:r>
      <w:r>
        <w:rPr>
          <w:color w:val="000000"/>
        </w:rPr>
        <w:sym w:font="Symbol" w:char="F0B4"/>
      </w:r>
      <w:r>
        <w:rPr>
          <w:color w:val="000000"/>
        </w:rPr>
        <w:t xml:space="preserve"> 2 мм), заполненные кристаллами фуллеренов (</w:t>
      </w:r>
      <w:r w:rsidRPr="00E54CC6">
        <w:rPr>
          <w:color w:val="000000"/>
        </w:rPr>
        <w:t>&gt;99.9</w:t>
      </w:r>
      <w:r>
        <w:rPr>
          <w:color w:val="000000"/>
        </w:rPr>
        <w:t> </w:t>
      </w:r>
      <w:r w:rsidRPr="00E54CC6">
        <w:rPr>
          <w:color w:val="000000"/>
        </w:rPr>
        <w:t>%</w:t>
      </w:r>
      <w:r>
        <w:rPr>
          <w:color w:val="000000"/>
        </w:rPr>
        <w:t>)</w:t>
      </w:r>
      <w:r w:rsidRPr="00E54CC6">
        <w:rPr>
          <w:color w:val="000000"/>
        </w:rPr>
        <w:t>.</w:t>
      </w:r>
      <w:r>
        <w:rPr>
          <w:color w:val="000000"/>
        </w:rPr>
        <w:t xml:space="preserve"> Пробы </w:t>
      </w:r>
      <w:proofErr w:type="spellStart"/>
      <w:r>
        <w:rPr>
          <w:color w:val="000000"/>
        </w:rPr>
        <w:t>адсорбатов</w:t>
      </w:r>
      <w:proofErr w:type="spellEnd"/>
      <w:r>
        <w:rPr>
          <w:color w:val="000000"/>
        </w:rPr>
        <w:t xml:space="preserve"> вводили в виде разбавленных паровоздушных смесей или растворов в соответствующих растворителях, что позволило выполнить измерения в области предельно малых заполнений поверхности адсорбента (области Генри), с целью исключить латеральные взаимодействия «</w:t>
      </w:r>
      <w:proofErr w:type="spellStart"/>
      <w:r>
        <w:rPr>
          <w:color w:val="000000"/>
        </w:rPr>
        <w:t>адсорбат-адсорбат</w:t>
      </w:r>
      <w:proofErr w:type="spellEnd"/>
      <w:r>
        <w:rPr>
          <w:color w:val="000000"/>
        </w:rPr>
        <w:t>».</w:t>
      </w:r>
    </w:p>
    <w:p w14:paraId="1B706167" w14:textId="77777777" w:rsidR="00EE6D7B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6C1EB3">
        <w:rPr>
          <w:color w:val="000000"/>
        </w:rPr>
        <w:t xml:space="preserve"> работе</w:t>
      </w:r>
      <w:r>
        <w:rPr>
          <w:color w:val="000000"/>
        </w:rPr>
        <w:t xml:space="preserve"> впервые </w:t>
      </w:r>
      <w:r w:rsidRPr="006C1EB3">
        <w:rPr>
          <w:color w:val="000000"/>
        </w:rPr>
        <w:t xml:space="preserve">определены </w:t>
      </w:r>
      <w:proofErr w:type="gramStart"/>
      <w:r w:rsidRPr="006C1EB3">
        <w:rPr>
          <w:color w:val="000000"/>
        </w:rPr>
        <w:t>неспецифический</w:t>
      </w:r>
      <w:proofErr w:type="gramEnd"/>
      <w:r w:rsidRPr="006C1EB3">
        <w:rPr>
          <w:color w:val="000000"/>
        </w:rPr>
        <w:t xml:space="preserve"> и специфические вклады в общую энергию адсорбции молекул различной геометрии и состава на поверхности </w:t>
      </w:r>
      <w:r w:rsidRPr="00DF2F33">
        <w:rPr>
          <w:iCs/>
          <w:color w:val="000000"/>
        </w:rPr>
        <w:t>С</w:t>
      </w:r>
      <w:r w:rsidRPr="00DF2F33">
        <w:rPr>
          <w:iCs/>
          <w:color w:val="000000"/>
          <w:vertAlign w:val="subscript"/>
        </w:rPr>
        <w:t>60</w:t>
      </w:r>
      <w:r w:rsidRPr="00DF2F33">
        <w:rPr>
          <w:color w:val="000000"/>
        </w:rPr>
        <w:t xml:space="preserve"> и </w:t>
      </w:r>
      <w:r w:rsidRPr="00DF2F33">
        <w:rPr>
          <w:iCs/>
          <w:color w:val="000000"/>
        </w:rPr>
        <w:t>С</w:t>
      </w:r>
      <w:r w:rsidRPr="00DF2F33">
        <w:rPr>
          <w:iCs/>
          <w:color w:val="000000"/>
          <w:vertAlign w:val="subscript"/>
        </w:rPr>
        <w:t>70</w:t>
      </w:r>
      <w:r w:rsidRPr="00DF2F33">
        <w:rPr>
          <w:color w:val="000000"/>
        </w:rPr>
        <w:t>,</w:t>
      </w:r>
      <w:r>
        <w:rPr>
          <w:color w:val="000000"/>
        </w:rPr>
        <w:t xml:space="preserve"> а также </w:t>
      </w:r>
      <w:proofErr w:type="spellStart"/>
      <w:r>
        <w:rPr>
          <w:color w:val="000000"/>
        </w:rPr>
        <w:t>графитированной</w:t>
      </w:r>
      <w:proofErr w:type="spellEnd"/>
      <w:r>
        <w:rPr>
          <w:color w:val="000000"/>
        </w:rPr>
        <w:t xml:space="preserve"> термической сажи.</w:t>
      </w:r>
      <w:r w:rsidRPr="006C1EB3">
        <w:rPr>
          <w:color w:val="000000"/>
        </w:rPr>
        <w:t xml:space="preserve"> В</w:t>
      </w:r>
      <w:r>
        <w:rPr>
          <w:color w:val="000000"/>
        </w:rPr>
        <w:t xml:space="preserve">первые показано, что </w:t>
      </w:r>
      <w:proofErr w:type="gramStart"/>
      <w:r>
        <w:rPr>
          <w:color w:val="000000"/>
        </w:rPr>
        <w:sym w:font="Symbol" w:char="F070"/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дефицитный характер поверхности фуллеренов обуславливает реализацию дополнительных специфических взаимодействий с </w:t>
      </w:r>
      <w:proofErr w:type="spellStart"/>
      <w:r>
        <w:rPr>
          <w:color w:val="000000"/>
        </w:rPr>
        <w:t>адсорбатами</w:t>
      </w:r>
      <w:proofErr w:type="spellEnd"/>
      <w:r>
        <w:rPr>
          <w:color w:val="000000"/>
        </w:rPr>
        <w:t xml:space="preserve">, имеющими </w:t>
      </w:r>
      <w:proofErr w:type="spellStart"/>
      <w:r>
        <w:rPr>
          <w:color w:val="000000"/>
        </w:rPr>
        <w:t>электронодонорные</w:t>
      </w:r>
      <w:proofErr w:type="spellEnd"/>
      <w:r>
        <w:rPr>
          <w:color w:val="000000"/>
        </w:rPr>
        <w:t xml:space="preserve"> группы в своем составе. Это является причиной высокой чувствительности поверхности фуллеренов к адсорбции нитр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циано</w:t>
      </w:r>
      <w:proofErr w:type="spellEnd"/>
      <w:r>
        <w:rPr>
          <w:color w:val="000000"/>
        </w:rPr>
        <w:t xml:space="preserve">-, галоген-, </w:t>
      </w:r>
      <w:proofErr w:type="spellStart"/>
      <w:r>
        <w:rPr>
          <w:color w:val="000000"/>
        </w:rPr>
        <w:t>оксосодержащих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сорбатов</w:t>
      </w:r>
      <w:proofErr w:type="spellEnd"/>
      <w:r>
        <w:rPr>
          <w:color w:val="000000"/>
        </w:rPr>
        <w:t>. Определен интервал структурной селективности поверхности изученных фуллеренов в отношении различных изомеров перечисленных функциональных производных. Также исследованы селективные свойства поверхности фуллеренов в отношении молекул различной геометрии на примере молекул линейного, циклического, гетероциклического и каркасного строения.</w:t>
      </w:r>
      <w:r w:rsidRPr="006C1EB3">
        <w:rPr>
          <w:color w:val="000000"/>
        </w:rPr>
        <w:t xml:space="preserve"> </w:t>
      </w:r>
      <w:r>
        <w:rPr>
          <w:color w:val="000000"/>
        </w:rPr>
        <w:t xml:space="preserve">Новые результаты получены при разделении структурных и геометрических изомеров производных </w:t>
      </w:r>
      <w:proofErr w:type="spellStart"/>
      <w:r>
        <w:rPr>
          <w:color w:val="000000"/>
        </w:rPr>
        <w:t>адамантана</w:t>
      </w:r>
      <w:proofErr w:type="spellEnd"/>
      <w:r>
        <w:rPr>
          <w:color w:val="000000"/>
        </w:rPr>
        <w:t>, характеризующихся большим числом соединений с близкими физико-химическими свойствами.</w:t>
      </w:r>
    </w:p>
    <w:p w14:paraId="415561D8" w14:textId="77777777" w:rsidR="00EE6D7B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Также с</w:t>
      </w:r>
      <w:r w:rsidRPr="006C1EB3">
        <w:rPr>
          <w:color w:val="000000"/>
        </w:rPr>
        <w:t xml:space="preserve"> помощью предложенного нами хроматографического метода оценки </w:t>
      </w:r>
      <w:r>
        <w:rPr>
          <w:color w:val="000000"/>
        </w:rPr>
        <w:t>«</w:t>
      </w:r>
      <w:r w:rsidRPr="006C1EB3">
        <w:rPr>
          <w:color w:val="000000"/>
        </w:rPr>
        <w:t>шероховатости</w:t>
      </w:r>
      <w:r>
        <w:rPr>
          <w:color w:val="000000"/>
        </w:rPr>
        <w:t>» (в единицах фрактальности)</w:t>
      </w:r>
      <w:r w:rsidRPr="006C1EB3">
        <w:rPr>
          <w:color w:val="000000"/>
        </w:rPr>
        <w:t xml:space="preserve"> поверхности определены особенности геометрии адсорбционного пространства </w:t>
      </w:r>
      <w:r>
        <w:rPr>
          <w:color w:val="000000"/>
        </w:rPr>
        <w:t>«</w:t>
      </w:r>
      <w:proofErr w:type="spellStart"/>
      <w:r w:rsidRPr="006C1EB3">
        <w:rPr>
          <w:color w:val="000000"/>
        </w:rPr>
        <w:t>адсорбат</w:t>
      </w:r>
      <w:proofErr w:type="spellEnd"/>
      <w:r w:rsidRPr="006C1EB3">
        <w:rPr>
          <w:color w:val="000000"/>
        </w:rPr>
        <w:t>-адсорбент</w:t>
      </w:r>
      <w:r>
        <w:rPr>
          <w:color w:val="000000"/>
        </w:rPr>
        <w:t>»</w:t>
      </w:r>
      <w:r w:rsidRPr="006C1EB3">
        <w:rPr>
          <w:color w:val="000000"/>
        </w:rPr>
        <w:t xml:space="preserve"> и показано </w:t>
      </w:r>
      <w:r>
        <w:rPr>
          <w:color w:val="000000"/>
        </w:rPr>
        <w:t xml:space="preserve">их </w:t>
      </w:r>
      <w:r w:rsidRPr="006C1EB3">
        <w:rPr>
          <w:color w:val="000000"/>
        </w:rPr>
        <w:t>влияние</w:t>
      </w:r>
      <w:r>
        <w:rPr>
          <w:color w:val="000000"/>
        </w:rPr>
        <w:t xml:space="preserve"> </w:t>
      </w:r>
      <w:r w:rsidRPr="006C1EB3">
        <w:rPr>
          <w:color w:val="000000"/>
        </w:rPr>
        <w:t>на сорбционно-</w:t>
      </w:r>
      <w:proofErr w:type="spellStart"/>
      <w:r w:rsidRPr="006C1EB3">
        <w:rPr>
          <w:color w:val="000000"/>
        </w:rPr>
        <w:t>хроматографические</w:t>
      </w:r>
      <w:proofErr w:type="spellEnd"/>
      <w:r w:rsidRPr="006C1EB3">
        <w:rPr>
          <w:color w:val="000000"/>
        </w:rPr>
        <w:t xml:space="preserve"> свойства изученных углеродных материалов.</w:t>
      </w:r>
    </w:p>
    <w:p w14:paraId="03976281" w14:textId="77777777" w:rsidR="00EE6D7B" w:rsidRDefault="00EE6D7B" w:rsidP="00EE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Литература</w:t>
      </w:r>
    </w:p>
    <w:p w14:paraId="61AAA9D5" w14:textId="77777777" w:rsidR="00EE6D7B" w:rsidRDefault="00EE6D7B" w:rsidP="00FD7847">
      <w:pPr>
        <w:pStyle w:val="a5"/>
        <w:numPr>
          <w:ilvl w:val="0"/>
          <w:numId w:val="3"/>
        </w:numPr>
        <w:jc w:val="both"/>
      </w:pPr>
      <w:r w:rsidRPr="00904F92">
        <w:rPr>
          <w:color w:val="000000"/>
        </w:rPr>
        <w:t xml:space="preserve">1. </w:t>
      </w:r>
      <w:r w:rsidRPr="00E205F6">
        <w:t xml:space="preserve">Яшкин С.Н., Дмитриев Д.Н., </w:t>
      </w:r>
      <w:proofErr w:type="gramStart"/>
      <w:r w:rsidRPr="00E205F6">
        <w:t>Яшкина</w:t>
      </w:r>
      <w:proofErr w:type="gramEnd"/>
      <w:r w:rsidRPr="00E205F6">
        <w:t xml:space="preserve"> Е.А., Светлов Д.А., </w:t>
      </w:r>
      <w:proofErr w:type="spellStart"/>
      <w:r w:rsidRPr="00E205F6">
        <w:rPr>
          <w:i/>
          <w:iCs/>
        </w:rPr>
        <w:t>Изв</w:t>
      </w:r>
      <w:proofErr w:type="spellEnd"/>
      <w:r w:rsidRPr="00E205F6">
        <w:rPr>
          <w:i/>
          <w:iCs/>
        </w:rPr>
        <w:t>. РАН. Сер</w:t>
      </w:r>
      <w:proofErr w:type="gramStart"/>
      <w:r w:rsidRPr="00E205F6">
        <w:rPr>
          <w:i/>
          <w:iCs/>
        </w:rPr>
        <w:t>.</w:t>
      </w:r>
      <w:proofErr w:type="gramEnd"/>
      <w:r w:rsidRPr="00E205F6">
        <w:rPr>
          <w:i/>
          <w:iCs/>
        </w:rPr>
        <w:t xml:space="preserve"> </w:t>
      </w:r>
      <w:proofErr w:type="gramStart"/>
      <w:r w:rsidRPr="00E205F6">
        <w:rPr>
          <w:i/>
          <w:iCs/>
        </w:rPr>
        <w:t>х</w:t>
      </w:r>
      <w:proofErr w:type="gramEnd"/>
      <w:r w:rsidRPr="00E205F6">
        <w:rPr>
          <w:i/>
          <w:iCs/>
        </w:rPr>
        <w:t>им.</w:t>
      </w:r>
      <w:r w:rsidRPr="00E205F6">
        <w:t>, 2022, Т.71, С.1878</w:t>
      </w:r>
      <w:r>
        <w:t>–</w:t>
      </w:r>
      <w:r w:rsidRPr="00E205F6">
        <w:t>1886</w:t>
      </w:r>
      <w:r>
        <w:t>.</w:t>
      </w:r>
    </w:p>
    <w:p w14:paraId="3486C755" w14:textId="6B422858" w:rsidR="00116478" w:rsidRPr="00EE6D7B" w:rsidRDefault="00EE6D7B" w:rsidP="00FD7847">
      <w:r w:rsidRPr="00E205F6">
        <w:t xml:space="preserve">Дмитриев Д.Н., Яшкин С.Н., </w:t>
      </w:r>
      <w:proofErr w:type="gramStart"/>
      <w:r w:rsidRPr="00E205F6">
        <w:t>Яшкина</w:t>
      </w:r>
      <w:proofErr w:type="gramEnd"/>
      <w:r w:rsidRPr="00E205F6">
        <w:t xml:space="preserve"> Е.А., </w:t>
      </w:r>
      <w:proofErr w:type="spellStart"/>
      <w:r w:rsidRPr="00754A55">
        <w:rPr>
          <w:i/>
          <w:iCs/>
        </w:rPr>
        <w:t>Изв</w:t>
      </w:r>
      <w:proofErr w:type="spellEnd"/>
      <w:r w:rsidRPr="00754A55">
        <w:rPr>
          <w:i/>
          <w:iCs/>
        </w:rPr>
        <w:t>. РАН. Сер</w:t>
      </w:r>
      <w:proofErr w:type="gramStart"/>
      <w:r w:rsidRPr="00754A55">
        <w:rPr>
          <w:i/>
          <w:iCs/>
        </w:rPr>
        <w:t>.</w:t>
      </w:r>
      <w:proofErr w:type="gramEnd"/>
      <w:r w:rsidRPr="00754A55">
        <w:rPr>
          <w:i/>
          <w:iCs/>
        </w:rPr>
        <w:t xml:space="preserve"> </w:t>
      </w:r>
      <w:proofErr w:type="gramStart"/>
      <w:r w:rsidRPr="00754A55">
        <w:rPr>
          <w:i/>
          <w:iCs/>
        </w:rPr>
        <w:t>х</w:t>
      </w:r>
      <w:proofErr w:type="gramEnd"/>
      <w:r w:rsidRPr="00754A55">
        <w:rPr>
          <w:i/>
          <w:iCs/>
        </w:rPr>
        <w:t>им.</w:t>
      </w:r>
      <w:r w:rsidRPr="00E205F6">
        <w:t>, 202</w:t>
      </w:r>
      <w:r w:rsidRPr="006C1EB3">
        <w:t>4</w:t>
      </w:r>
      <w:r w:rsidRPr="00E205F6">
        <w:t>, Т.7</w:t>
      </w:r>
      <w:r>
        <w:t xml:space="preserve">3 </w:t>
      </w:r>
      <w:r w:rsidRPr="006A0C27">
        <w:t>(</w:t>
      </w:r>
      <w:r>
        <w:t>в печати</w:t>
      </w:r>
      <w:r w:rsidRPr="006A0C27">
        <w:t>)</w:t>
      </w:r>
      <w:r>
        <w:t>.</w:t>
      </w:r>
    </w:p>
    <w:sectPr w:rsidR="00116478" w:rsidRPr="00EE6D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FA7"/>
    <w:multiLevelType w:val="multilevel"/>
    <w:tmpl w:val="C248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66474"/>
    <w:rsid w:val="00590166"/>
    <w:rsid w:val="005D022B"/>
    <w:rsid w:val="005E5BE9"/>
    <w:rsid w:val="00604E0A"/>
    <w:rsid w:val="0069427D"/>
    <w:rsid w:val="006A79CD"/>
    <w:rsid w:val="006C1EB3"/>
    <w:rsid w:val="006F7A19"/>
    <w:rsid w:val="007213E1"/>
    <w:rsid w:val="00775389"/>
    <w:rsid w:val="00797838"/>
    <w:rsid w:val="007C36D8"/>
    <w:rsid w:val="007F2744"/>
    <w:rsid w:val="008931BE"/>
    <w:rsid w:val="008C67E3"/>
    <w:rsid w:val="00904F92"/>
    <w:rsid w:val="00921D45"/>
    <w:rsid w:val="0092573C"/>
    <w:rsid w:val="009A66DB"/>
    <w:rsid w:val="009B2F80"/>
    <w:rsid w:val="009B3300"/>
    <w:rsid w:val="009F3380"/>
    <w:rsid w:val="00A02163"/>
    <w:rsid w:val="00A314FE"/>
    <w:rsid w:val="00A9007F"/>
    <w:rsid w:val="00BF36F8"/>
    <w:rsid w:val="00BF4622"/>
    <w:rsid w:val="00CD00B1"/>
    <w:rsid w:val="00D22306"/>
    <w:rsid w:val="00D42542"/>
    <w:rsid w:val="00D8121C"/>
    <w:rsid w:val="00D92FF4"/>
    <w:rsid w:val="00DA755F"/>
    <w:rsid w:val="00E22189"/>
    <w:rsid w:val="00E54CC6"/>
    <w:rsid w:val="00E74069"/>
    <w:rsid w:val="00EB1F49"/>
    <w:rsid w:val="00EE6D7B"/>
    <w:rsid w:val="00F865B3"/>
    <w:rsid w:val="00FB1509"/>
    <w:rsid w:val="00FD784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n06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5566E5-9A0E-4E26-9DDD-687A94D2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Maria</cp:lastModifiedBy>
  <cp:revision>11</cp:revision>
  <dcterms:created xsi:type="dcterms:W3CDTF">2024-01-29T08:36:00Z</dcterms:created>
  <dcterms:modified xsi:type="dcterms:W3CDTF">2024-04-19T10:29:00Z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