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13" w:rsidRPr="00291C8F" w:rsidRDefault="00291C8F" w:rsidP="00F53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91C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Synthesis of </w:t>
      </w:r>
      <w:proofErr w:type="spellStart"/>
      <w:r w:rsidRPr="00291C8F">
        <w:rPr>
          <w:rFonts w:ascii="Times New Roman" w:hAnsi="Times New Roman" w:cs="Times New Roman"/>
          <w:b/>
          <w:sz w:val="24"/>
          <w:szCs w:val="24"/>
          <w:lang w:val="en-US"/>
        </w:rPr>
        <w:t>azoloisoquinolines</w:t>
      </w:r>
      <w:proofErr w:type="spellEnd"/>
      <w:r w:rsidRPr="00291C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based on amino acids</w:t>
      </w:r>
    </w:p>
    <w:p w:rsidR="005F1E13" w:rsidRPr="00F53DCB" w:rsidRDefault="005F1E13" w:rsidP="00F5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Mirzokulov</w:t>
      </w:r>
      <w:proofErr w:type="spellEnd"/>
      <w:r w:rsidR="00B02778"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 xml:space="preserve"> S.M</w:t>
      </w:r>
      <w:r w:rsidR="004949F7"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 xml:space="preserve">., </w:t>
      </w:r>
      <w:proofErr w:type="spellStart"/>
      <w:r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Yusupov</w:t>
      </w:r>
      <w:proofErr w:type="spellEnd"/>
      <w:r w:rsidR="004949F7"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 xml:space="preserve"> A.B., </w:t>
      </w:r>
      <w:proofErr w:type="spellStart"/>
      <w:r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Tukhtaev</w:t>
      </w:r>
      <w:proofErr w:type="spellEnd"/>
      <w:r w:rsidR="004949F7" w:rsidRPr="00F53DC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 xml:space="preserve"> D.B.</w:t>
      </w:r>
    </w:p>
    <w:p w:rsidR="00291C8F" w:rsidRPr="00291C8F" w:rsidRDefault="00291C8F" w:rsidP="00F5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291C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Master student Department of Chemistry Samarkand state university</w:t>
      </w:r>
    </w:p>
    <w:p w:rsidR="005F1E13" w:rsidRPr="00291C8F" w:rsidRDefault="005F1E13" w:rsidP="00F53DCB">
      <w:pPr>
        <w:tabs>
          <w:tab w:val="left" w:pos="6804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291C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Samarkand</w:t>
      </w:r>
      <w:r w:rsidR="00291C8F" w:rsidRPr="00291C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state university, Samarkand, Uzbekistan</w:t>
      </w:r>
    </w:p>
    <w:p w:rsidR="005F1E13" w:rsidRPr="00291C8F" w:rsidRDefault="00B02778" w:rsidP="00F53DCB">
      <w:pPr>
        <w:spacing w:after="0" w:line="240" w:lineRule="auto"/>
        <w:jc w:val="center"/>
        <w:rPr>
          <w:rFonts w:eastAsia="Calibr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E-</w:t>
      </w:r>
      <w:r w:rsidR="005F1E13" w:rsidRPr="00291C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mail: </w:t>
      </w:r>
      <w:hyperlink r:id="rId5" w:history="1">
        <w:r w:rsidRPr="00F53DCB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en-US"/>
          </w:rPr>
          <w:t>mirzokulovsm@gmail.com</w:t>
        </w:r>
      </w:hyperlink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91C8F" w:rsidRDefault="00527033" w:rsidP="00F53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C8F">
        <w:rPr>
          <w:rFonts w:ascii="Times New Roman" w:hAnsi="Times New Roman" w:cs="Times New Roman"/>
          <w:sz w:val="24"/>
          <w:szCs w:val="24"/>
          <w:lang w:val="en-US"/>
        </w:rPr>
        <w:t>Heterocyclic compounds are important building blocks for natural bioactive substances and advanced materials. Heterocyclic compounds contain various heteroatoms, in particular heterocyclic compounds containing nitrogen [1] show high bioactivity and various pharmacological properties, and they are used in agriculture as many agrochemical drugs.</w:t>
      </w:r>
    </w:p>
    <w:p w:rsidR="00291C8F" w:rsidRDefault="00527033" w:rsidP="00F53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isoquinoline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nucleus is a natural bioactive and an important component of widely used drugs.</w:t>
      </w:r>
      <w:r w:rsidR="00B02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Substances formed by the condensation of the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azolo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group on the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isoquinoline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nucleus attract researchers due to their diversity and biological activity, for example, showing anticancer, antibacterial, antimalarial and anti-inflammatory properties [2</w:t>
      </w:r>
      <w:proofErr w:type="gramStart"/>
      <w:r w:rsidRPr="00291C8F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291C8F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274F4D" w:rsidRDefault="00527033" w:rsidP="00F53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Our research is focused on the synthesis and modification of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azoloisoquinolines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through amino acid-based intermediates [4], and it is important to protect the amino group and continue the reactions with the carboxyl group at the initial stage.</w:t>
      </w:r>
    </w:p>
    <w:p w:rsidR="00527033" w:rsidRPr="00274F4D" w:rsidRDefault="00274F4D" w:rsidP="00F53DC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830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33" w:rsidRPr="00291C8F" w:rsidRDefault="00527033" w:rsidP="00F53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It was studied that the synthesis of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azoloisoquinolines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can be carried out in 3 stages, and in the last stage of the reaction, the corresponding products were formed as a result of ring reactions of N-protected amino acids. This method can be one of the simple and alternative methods of synthesizing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azoloisoquinolines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E13" w:rsidRPr="00291C8F" w:rsidRDefault="005F1E13" w:rsidP="00F53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1E13" w:rsidRPr="00291C8F" w:rsidRDefault="005F1E13" w:rsidP="00F53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91C8F">
        <w:rPr>
          <w:rFonts w:ascii="Times New Roman" w:hAnsi="Times New Roman" w:cs="Times New Roman"/>
          <w:b/>
          <w:sz w:val="24"/>
          <w:szCs w:val="24"/>
          <w:lang w:val="sv-SE"/>
        </w:rPr>
        <w:t>References:</w:t>
      </w:r>
    </w:p>
    <w:p w:rsidR="005F1E13" w:rsidRPr="00291C8F" w:rsidRDefault="005F1E13" w:rsidP="00F53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Marcus Baumann, Ian R.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Baxendale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, Steven V.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Ley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Nikzad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C8F">
        <w:rPr>
          <w:rFonts w:ascii="Times New Roman" w:hAnsi="Times New Roman" w:cs="Times New Roman"/>
          <w:sz w:val="24"/>
          <w:szCs w:val="24"/>
          <w:lang w:val="en-US"/>
        </w:rPr>
        <w:t>Nikbin</w:t>
      </w:r>
      <w:proofErr w:type="spellEnd"/>
      <w:r w:rsidRPr="00291C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1C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 overview of the key routes to the best selling 5-membered ring heterocyclic pharmaceuticals. </w:t>
      </w:r>
      <w:proofErr w:type="spellStart"/>
      <w:r w:rsidRPr="00291C8F">
        <w:rPr>
          <w:rFonts w:ascii="Times New Roman" w:hAnsi="Times New Roman" w:cs="Times New Roman"/>
          <w:i/>
          <w:iCs/>
          <w:sz w:val="24"/>
          <w:szCs w:val="24"/>
        </w:rPr>
        <w:t>Beilstein</w:t>
      </w:r>
      <w:proofErr w:type="spellEnd"/>
      <w:r w:rsidRPr="00291C8F">
        <w:rPr>
          <w:rFonts w:ascii="Times New Roman" w:hAnsi="Times New Roman" w:cs="Times New Roman"/>
          <w:i/>
          <w:iCs/>
          <w:sz w:val="24"/>
          <w:szCs w:val="24"/>
        </w:rPr>
        <w:t xml:space="preserve"> J. </w:t>
      </w:r>
      <w:proofErr w:type="spellStart"/>
      <w:r w:rsidRPr="00291C8F">
        <w:rPr>
          <w:rFonts w:ascii="Times New Roman" w:hAnsi="Times New Roman" w:cs="Times New Roman"/>
          <w:i/>
          <w:iCs/>
          <w:sz w:val="24"/>
          <w:szCs w:val="24"/>
        </w:rPr>
        <w:t>Org</w:t>
      </w:r>
      <w:proofErr w:type="spellEnd"/>
      <w:r w:rsidRPr="00291C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91C8F">
        <w:rPr>
          <w:rFonts w:ascii="Times New Roman" w:hAnsi="Times New Roman" w:cs="Times New Roman"/>
          <w:i/>
          <w:iCs/>
          <w:sz w:val="24"/>
          <w:szCs w:val="24"/>
        </w:rPr>
        <w:t>Chem</w:t>
      </w:r>
      <w:proofErr w:type="spellEnd"/>
      <w:r w:rsidRPr="00291C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91C8F">
        <w:rPr>
          <w:rFonts w:ascii="Times New Roman" w:hAnsi="Times New Roman" w:cs="Times New Roman"/>
          <w:bCs/>
          <w:sz w:val="24"/>
          <w:szCs w:val="24"/>
        </w:rPr>
        <w:t xml:space="preserve">2011, </w:t>
      </w:r>
      <w:r w:rsidRPr="00291C8F">
        <w:rPr>
          <w:rFonts w:ascii="Times New Roman" w:hAnsi="Times New Roman" w:cs="Times New Roman"/>
          <w:i/>
          <w:iCs/>
          <w:sz w:val="24"/>
          <w:szCs w:val="24"/>
        </w:rPr>
        <w:t xml:space="preserve">7, </w:t>
      </w:r>
      <w:r w:rsidRPr="00291C8F">
        <w:rPr>
          <w:rFonts w:ascii="Times New Roman" w:hAnsi="Times New Roman" w:cs="Times New Roman"/>
          <w:sz w:val="24"/>
          <w:szCs w:val="24"/>
        </w:rPr>
        <w:t>442–495.</w:t>
      </w:r>
    </w:p>
    <w:p w:rsidR="005F1E13" w:rsidRPr="00291C8F" w:rsidRDefault="005F1E13" w:rsidP="00F53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Shenvi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S, Kumar K,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Hatti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KS,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Rijesh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K,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Diwakar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L, Reddy GC (2013) Synthesis, anticancer and antioxidant activities of 2,4,5-trimethoxy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chalcones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and analogues from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asaronaldehyde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: Structure–activity relationship. </w:t>
      </w:r>
      <w:proofErr w:type="spellStart"/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>Eur</w:t>
      </w:r>
      <w:proofErr w:type="spellEnd"/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 xml:space="preserve"> J Med </w:t>
      </w:r>
      <w:proofErr w:type="spellStart"/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>Chem</w:t>
      </w:r>
      <w:proofErr w:type="spellEnd"/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 xml:space="preserve"> 62:435–442</w:t>
      </w:r>
    </w:p>
    <w:p w:rsidR="005F1E13" w:rsidRPr="00291C8F" w:rsidRDefault="005F1E13" w:rsidP="00F53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Elwan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NM,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Abdelhadi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HA,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Abdallah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TA,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Hassaneen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HM (1996) Synthesis of [1,2,4]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triazolo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[3,4-a]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isoquinolines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and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pyrrolo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[2,1-a]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isoquinolines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using </w:t>
      </w:r>
      <w:r w:rsidRPr="00291C8F">
        <w:rPr>
          <w:rFonts w:ascii="Times New Roman" w:eastAsia="Calibri" w:hAnsi="Times New Roman" w:cs="Times New Roman"/>
          <w:color w:val="131413"/>
          <w:sz w:val="24"/>
          <w:szCs w:val="24"/>
        </w:rPr>
        <w:t>α</w:t>
      </w:r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-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keto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>hydrazonoyl</w:t>
      </w:r>
      <w:proofErr w:type="spellEnd"/>
      <w:r w:rsidRPr="00291C8F">
        <w:rPr>
          <w:rFonts w:ascii="Times New Roman" w:eastAsia="Calibri" w:hAnsi="Times New Roman" w:cs="Times New Roman"/>
          <w:color w:val="131413"/>
          <w:sz w:val="24"/>
          <w:szCs w:val="24"/>
          <w:lang w:val="en-US"/>
        </w:rPr>
        <w:t xml:space="preserve"> halides. </w:t>
      </w:r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 xml:space="preserve">Tetrahedron 52:3451–3456 </w:t>
      </w:r>
    </w:p>
    <w:p w:rsidR="005F1E13" w:rsidRPr="00291C8F" w:rsidRDefault="005F1E13" w:rsidP="00F53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Tukhtaev</w:t>
      </w:r>
      <w:proofErr w:type="spellEnd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D., </w:t>
      </w:r>
      <w:proofErr w:type="spellStart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Yusupov</w:t>
      </w:r>
      <w:proofErr w:type="spellEnd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A., </w:t>
      </w:r>
      <w:proofErr w:type="spellStart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Vinogradova</w:t>
      </w:r>
      <w:proofErr w:type="spellEnd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V. Synthesis of new Amides based on </w:t>
      </w:r>
      <w:proofErr w:type="spellStart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NPhthaloyl</w:t>
      </w:r>
      <w:proofErr w:type="spellEnd"/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-</w:t>
      </w:r>
      <w:r w:rsidRPr="00291C8F">
        <w:rPr>
          <w:rFonts w:ascii="Times New Roman" w:eastAsia="TimesNewRomanPSMT" w:hAnsi="Times New Roman" w:cs="Times New Roman"/>
          <w:color w:val="222222"/>
          <w:sz w:val="24"/>
          <w:szCs w:val="24"/>
        </w:rPr>
        <w:t>α</w:t>
      </w:r>
      <w:r w:rsidRPr="00291C8F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>-Amino Acids //</w:t>
      </w:r>
      <w:r w:rsidRPr="00291C8F">
        <w:rPr>
          <w:rFonts w:ascii="Times New Roman" w:eastAsia="Calibri" w:hAnsi="Times New Roman" w:cs="Times New Roman"/>
          <w:i/>
          <w:color w:val="222222"/>
          <w:sz w:val="24"/>
          <w:szCs w:val="24"/>
          <w:lang w:val="en-US"/>
        </w:rPr>
        <w:t xml:space="preserve">Egyptian Journal of Chemistry. </w:t>
      </w:r>
      <w:r w:rsidRPr="00291C8F">
        <w:rPr>
          <w:rFonts w:ascii="Times New Roman" w:eastAsia="TimesNewRomanPSMT" w:hAnsi="Times New Roman" w:cs="Times New Roman"/>
          <w:i/>
          <w:color w:val="222222"/>
          <w:sz w:val="24"/>
          <w:szCs w:val="24"/>
          <w:lang w:val="en-US"/>
        </w:rPr>
        <w:t xml:space="preserve">– </w:t>
      </w:r>
      <w:r w:rsidRPr="00291C8F">
        <w:rPr>
          <w:rFonts w:ascii="Times New Roman" w:eastAsia="Calibri" w:hAnsi="Times New Roman" w:cs="Times New Roman"/>
          <w:i/>
          <w:color w:val="222222"/>
          <w:sz w:val="24"/>
          <w:szCs w:val="24"/>
          <w:lang w:val="en-US"/>
        </w:rPr>
        <w:t xml:space="preserve">2021. </w:t>
      </w:r>
      <w:r w:rsidRPr="00291C8F">
        <w:rPr>
          <w:rFonts w:ascii="Times New Roman" w:eastAsia="TimesNewRomanPSMT" w:hAnsi="Times New Roman" w:cs="Times New Roman"/>
          <w:i/>
          <w:color w:val="222222"/>
          <w:sz w:val="24"/>
          <w:szCs w:val="24"/>
          <w:lang w:val="en-US"/>
        </w:rPr>
        <w:t xml:space="preserve">– </w:t>
      </w:r>
      <w:r w:rsidRPr="00291C8F">
        <w:rPr>
          <w:rFonts w:ascii="Times New Roman" w:eastAsia="Calibri" w:hAnsi="Times New Roman" w:cs="Times New Roman"/>
          <w:i/>
          <w:color w:val="222222"/>
          <w:sz w:val="24"/>
          <w:szCs w:val="24"/>
          <w:lang w:val="en-US"/>
        </w:rPr>
        <w:t xml:space="preserve">V. 64. </w:t>
      </w:r>
      <w:r w:rsidRPr="00291C8F">
        <w:rPr>
          <w:rFonts w:ascii="Times New Roman" w:eastAsia="TimesNewRomanPSMT" w:hAnsi="Times New Roman" w:cs="Times New Roman"/>
          <w:i/>
          <w:color w:val="222222"/>
          <w:sz w:val="24"/>
          <w:szCs w:val="24"/>
          <w:lang w:val="en-US"/>
        </w:rPr>
        <w:t>– №. 6. –</w:t>
      </w:r>
      <w:r w:rsidRPr="00291C8F">
        <w:rPr>
          <w:rFonts w:ascii="Times New Roman" w:eastAsia="Calibri" w:hAnsi="Times New Roman" w:cs="Times New Roman"/>
          <w:i/>
          <w:color w:val="131413"/>
          <w:sz w:val="24"/>
          <w:szCs w:val="24"/>
          <w:lang w:val="en-US"/>
        </w:rPr>
        <w:t xml:space="preserve"> </w:t>
      </w:r>
      <w:r w:rsidRPr="00291C8F">
        <w:rPr>
          <w:rFonts w:ascii="Times New Roman" w:eastAsia="Calibri" w:hAnsi="Times New Roman" w:cs="Times New Roman"/>
          <w:i/>
          <w:color w:val="222222"/>
          <w:sz w:val="24"/>
          <w:szCs w:val="24"/>
          <w:lang w:val="en-US"/>
        </w:rPr>
        <w:t>P. 3049-3058.</w:t>
      </w:r>
    </w:p>
    <w:p w:rsidR="005F1E13" w:rsidRPr="00291C8F" w:rsidRDefault="005F1E13" w:rsidP="00F53D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5F1E13" w:rsidRPr="00291C8F" w:rsidSect="00291C8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5FE"/>
    <w:multiLevelType w:val="hybridMultilevel"/>
    <w:tmpl w:val="7C4E47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33"/>
    <w:rsid w:val="00240A6C"/>
    <w:rsid w:val="00274F4D"/>
    <w:rsid w:val="00291C8F"/>
    <w:rsid w:val="004949F7"/>
    <w:rsid w:val="005031A5"/>
    <w:rsid w:val="00527033"/>
    <w:rsid w:val="005F1E13"/>
    <w:rsid w:val="00783E2C"/>
    <w:rsid w:val="007F1AAF"/>
    <w:rsid w:val="00B02778"/>
    <w:rsid w:val="00C724CD"/>
    <w:rsid w:val="00D63482"/>
    <w:rsid w:val="00F5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irzokulovsm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Sunnatillo</dc:creator>
  <cp:lastModifiedBy>Tatiana Dubinina</cp:lastModifiedBy>
  <cp:revision>2</cp:revision>
  <dcterms:created xsi:type="dcterms:W3CDTF">2024-02-28T23:20:00Z</dcterms:created>
  <dcterms:modified xsi:type="dcterms:W3CDTF">2024-02-28T23:20:00Z</dcterms:modified>
</cp:coreProperties>
</file>