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80" w:rsidRPr="00561443" w:rsidRDefault="00232F32" w:rsidP="004A1780">
      <w:pPr>
        <w:widowControl w:val="0"/>
        <w:ind w:firstLine="709"/>
        <w:contextualSpacing/>
        <w:jc w:val="center"/>
        <w:rPr>
          <w:b/>
        </w:rPr>
      </w:pPr>
      <w:r>
        <w:rPr>
          <w:b/>
        </w:rPr>
        <w:t>Взаимодействие</w:t>
      </w:r>
      <w:r w:rsidR="004A1780" w:rsidRPr="004A1780">
        <w:rPr>
          <w:b/>
        </w:rPr>
        <w:t xml:space="preserve"> 6-метил-5-формилурацила с </w:t>
      </w:r>
      <w:proofErr w:type="spellStart"/>
      <w:r w:rsidR="0090680F">
        <w:rPr>
          <w:b/>
        </w:rPr>
        <w:t>гидразидами</w:t>
      </w:r>
      <w:proofErr w:type="spellEnd"/>
      <w:r w:rsidR="0090680F">
        <w:rPr>
          <w:b/>
        </w:rPr>
        <w:t xml:space="preserve"> карбоновых кислот</w:t>
      </w:r>
    </w:p>
    <w:p w:rsidR="00130241" w:rsidRPr="00AA3D4E" w:rsidRDefault="00507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Лутова</w:t>
      </w:r>
      <w:proofErr w:type="spellEnd"/>
      <w:r>
        <w:rPr>
          <w:b/>
          <w:i/>
          <w:color w:val="000000"/>
        </w:rPr>
        <w:t xml:space="preserve"> А.Р.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4A1780">
        <w:rPr>
          <w:b/>
          <w:i/>
          <w:color w:val="000000"/>
        </w:rPr>
        <w:t>Черникова</w:t>
      </w:r>
      <w:proofErr w:type="spellEnd"/>
      <w:r w:rsidR="00EB1F49">
        <w:rPr>
          <w:b/>
          <w:i/>
          <w:color w:val="000000"/>
        </w:rPr>
        <w:t xml:space="preserve"> И.Б.</w:t>
      </w:r>
      <w:r>
        <w:rPr>
          <w:b/>
          <w:i/>
          <w:color w:val="000000"/>
          <w:vertAlign w:val="superscript"/>
        </w:rPr>
        <w:t>2</w:t>
      </w:r>
      <w:r w:rsidR="00AA3D4E">
        <w:rPr>
          <w:b/>
          <w:i/>
          <w:color w:val="000000"/>
        </w:rPr>
        <w:t>, Лобов А.Н.</w:t>
      </w:r>
      <w:r>
        <w:rPr>
          <w:b/>
          <w:i/>
          <w:color w:val="000000"/>
          <w:vertAlign w:val="superscript"/>
        </w:rPr>
        <w:t>2</w:t>
      </w:r>
    </w:p>
    <w:p w:rsidR="00130241" w:rsidRPr="00AA2F4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A2F4A">
        <w:rPr>
          <w:i/>
          <w:color w:val="000000"/>
        </w:rPr>
        <w:t xml:space="preserve">Студент, </w:t>
      </w:r>
      <w:r w:rsidR="004A1780" w:rsidRPr="00AA2F4A">
        <w:rPr>
          <w:i/>
          <w:color w:val="000000"/>
        </w:rPr>
        <w:t>2</w:t>
      </w:r>
      <w:r w:rsidRPr="00AA2F4A">
        <w:rPr>
          <w:i/>
          <w:color w:val="000000"/>
        </w:rPr>
        <w:t xml:space="preserve"> курс</w:t>
      </w:r>
      <w:r w:rsidR="004A1780" w:rsidRPr="00AA2F4A">
        <w:rPr>
          <w:i/>
          <w:color w:val="000000"/>
        </w:rPr>
        <w:t>а</w:t>
      </w:r>
      <w:r w:rsidRPr="00AA2F4A">
        <w:rPr>
          <w:i/>
          <w:color w:val="000000"/>
        </w:rPr>
        <w:t xml:space="preserve"> </w:t>
      </w:r>
      <w:r w:rsidR="004A1780" w:rsidRPr="00AA2F4A">
        <w:rPr>
          <w:i/>
          <w:color w:val="000000"/>
        </w:rPr>
        <w:t>магистратуры</w:t>
      </w:r>
    </w:p>
    <w:p w:rsidR="008B1039" w:rsidRDefault="005072C6" w:rsidP="00507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Казанский (Приволжский) федеральный университет,</w:t>
      </w:r>
    </w:p>
    <w:p w:rsidR="005072C6" w:rsidRPr="004A1780" w:rsidRDefault="008B1039" w:rsidP="00507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highlight w:val="yellow"/>
        </w:rPr>
      </w:pPr>
      <w:r>
        <w:rPr>
          <w:i/>
          <w:color w:val="000000"/>
        </w:rPr>
        <w:t>химический институт им. А.М. Бутлерова,</w:t>
      </w:r>
      <w:r w:rsidR="005072C6">
        <w:rPr>
          <w:i/>
          <w:color w:val="000000"/>
        </w:rPr>
        <w:t xml:space="preserve"> Казань, Россия</w:t>
      </w:r>
    </w:p>
    <w:p w:rsidR="00130241" w:rsidRDefault="00507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4A1780">
        <w:rPr>
          <w:i/>
          <w:color w:val="000000"/>
        </w:rPr>
        <w:t>У</w:t>
      </w:r>
      <w:r w:rsidR="00AA3D4E">
        <w:rPr>
          <w:i/>
          <w:color w:val="000000"/>
        </w:rPr>
        <w:t>ф</w:t>
      </w:r>
      <w:r w:rsidR="004A1780">
        <w:rPr>
          <w:i/>
          <w:color w:val="000000"/>
        </w:rPr>
        <w:t>имский институт химии УФИЦ РАН</w:t>
      </w:r>
      <w:r w:rsidR="00EB1F49">
        <w:rPr>
          <w:i/>
          <w:color w:val="000000"/>
        </w:rPr>
        <w:t xml:space="preserve">, </w:t>
      </w:r>
      <w:r w:rsidR="004A1780">
        <w:rPr>
          <w:i/>
          <w:color w:val="000000"/>
        </w:rPr>
        <w:t>Уфа</w:t>
      </w:r>
      <w:r w:rsidR="00EB1F49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proofErr w:type="spellStart"/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EB1F49">
        <w:rPr>
          <w:i/>
          <w:color w:val="000000"/>
        </w:rPr>
        <w:t>mail</w:t>
      </w:r>
      <w:proofErr w:type="spellEnd"/>
      <w:r w:rsidR="00EB1F49">
        <w:rPr>
          <w:i/>
          <w:color w:val="000000"/>
        </w:rPr>
        <w:t xml:space="preserve">: </w:t>
      </w:r>
      <w:hyperlink r:id="rId6" w:history="1">
        <w:r w:rsidR="004A1780" w:rsidRPr="004A1780">
          <w:rPr>
            <w:rStyle w:val="a9"/>
            <w:i/>
            <w:lang w:val="en-US"/>
          </w:rPr>
          <w:t>azalia</w:t>
        </w:r>
        <w:r w:rsidR="004A1780" w:rsidRPr="004A1780">
          <w:rPr>
            <w:rStyle w:val="a9"/>
            <w:i/>
          </w:rPr>
          <w:t>.</w:t>
        </w:r>
        <w:r w:rsidR="004A1780" w:rsidRPr="004A1780">
          <w:rPr>
            <w:rStyle w:val="a9"/>
            <w:i/>
            <w:lang w:val="en-US"/>
          </w:rPr>
          <w:t>lutova</w:t>
        </w:r>
        <w:r w:rsidR="004A1780" w:rsidRPr="004A1780">
          <w:rPr>
            <w:rStyle w:val="a9"/>
            <w:i/>
          </w:rPr>
          <w:t>@</w:t>
        </w:r>
        <w:r w:rsidR="004A1780" w:rsidRPr="004A1780">
          <w:rPr>
            <w:rStyle w:val="a9"/>
            <w:i/>
            <w:lang w:val="en-US"/>
          </w:rPr>
          <w:t>ya</w:t>
        </w:r>
        <w:r w:rsidR="004A1780" w:rsidRPr="004A1780">
          <w:rPr>
            <w:rStyle w:val="a9"/>
            <w:i/>
          </w:rPr>
          <w:t>.</w:t>
        </w:r>
        <w:r w:rsidR="004A1780" w:rsidRPr="004A1780">
          <w:rPr>
            <w:rStyle w:val="a9"/>
            <w:i/>
            <w:lang w:val="en-US"/>
          </w:rPr>
          <w:t>ru</w:t>
        </w:r>
      </w:hyperlink>
    </w:p>
    <w:p w:rsidR="00191FA8" w:rsidRDefault="004A1780" w:rsidP="00191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8456B">
        <w:rPr>
          <w:rFonts w:eastAsia="TimesNewRoman"/>
          <w:lang w:eastAsia="en-US"/>
        </w:rPr>
        <w:t xml:space="preserve">В </w:t>
      </w:r>
      <w:r w:rsidR="00191FA8">
        <w:rPr>
          <w:rFonts w:eastAsia="TimesNewRoman"/>
          <w:lang w:eastAsia="en-US"/>
        </w:rPr>
        <w:t>последние года</w:t>
      </w:r>
      <w:r w:rsidRPr="0068456B">
        <w:rPr>
          <w:rFonts w:eastAsia="TimesNewRoman"/>
          <w:lang w:eastAsia="en-US"/>
        </w:rPr>
        <w:t xml:space="preserve"> ведутся </w:t>
      </w:r>
      <w:r w:rsidR="00191FA8">
        <w:rPr>
          <w:rFonts w:eastAsia="TimesNewRoman"/>
          <w:lang w:eastAsia="en-US"/>
        </w:rPr>
        <w:t xml:space="preserve">обширные </w:t>
      </w:r>
      <w:r w:rsidRPr="0068456B">
        <w:rPr>
          <w:rFonts w:eastAsia="TimesNewRoman"/>
          <w:lang w:eastAsia="en-US"/>
        </w:rPr>
        <w:t xml:space="preserve">исследования </w:t>
      </w:r>
      <w:r w:rsidR="00191FA8">
        <w:rPr>
          <w:rFonts w:eastAsia="TimesNewRoman"/>
          <w:lang w:eastAsia="en-US"/>
        </w:rPr>
        <w:t>п</w:t>
      </w:r>
      <w:bookmarkStart w:id="0" w:name="_GoBack"/>
      <w:bookmarkEnd w:id="0"/>
      <w:r w:rsidR="00191FA8">
        <w:rPr>
          <w:rFonts w:eastAsia="TimesNewRoman"/>
          <w:lang w:eastAsia="en-US"/>
        </w:rPr>
        <w:t>о</w:t>
      </w:r>
      <w:r w:rsidRPr="0068456B">
        <w:rPr>
          <w:rFonts w:eastAsia="TimesNewRoman"/>
          <w:lang w:eastAsia="en-US"/>
        </w:rPr>
        <w:t xml:space="preserve"> синтез</w:t>
      </w:r>
      <w:r w:rsidR="00191FA8">
        <w:rPr>
          <w:rFonts w:eastAsia="TimesNewRoman"/>
          <w:lang w:eastAsia="en-US"/>
        </w:rPr>
        <w:t>у</w:t>
      </w:r>
      <w:r w:rsidRPr="0068456B">
        <w:rPr>
          <w:rFonts w:eastAsia="TimesNewRoman"/>
          <w:lang w:eastAsia="en-US"/>
        </w:rPr>
        <w:t xml:space="preserve"> гибридных</w:t>
      </w:r>
      <w:r w:rsidR="00191FA8">
        <w:rPr>
          <w:rFonts w:eastAsia="TimesNewRoman"/>
          <w:lang w:eastAsia="en-US"/>
        </w:rPr>
        <w:t xml:space="preserve"> гетероциклических </w:t>
      </w:r>
      <w:r w:rsidRPr="0068456B">
        <w:rPr>
          <w:rFonts w:eastAsia="TimesNewRoman"/>
          <w:lang w:eastAsia="en-US"/>
        </w:rPr>
        <w:t xml:space="preserve">структур, обладающих потенциальной биологической активностью. При синтезе подобных соединений ученые зачастую используют объекты, </w:t>
      </w:r>
      <w:r w:rsidR="00191FA8">
        <w:rPr>
          <w:rFonts w:eastAsia="TimesNewRoman"/>
          <w:lang w:eastAsia="en-US"/>
        </w:rPr>
        <w:t>которые уже об</w:t>
      </w:r>
      <w:r w:rsidRPr="0068456B">
        <w:rPr>
          <w:rFonts w:eastAsia="TimesNewRoman"/>
          <w:lang w:eastAsia="en-US"/>
        </w:rPr>
        <w:t>ладаю</w:t>
      </w:r>
      <w:r w:rsidR="00191FA8">
        <w:rPr>
          <w:rFonts w:eastAsia="TimesNewRoman"/>
          <w:lang w:eastAsia="en-US"/>
        </w:rPr>
        <w:t>т доказанной</w:t>
      </w:r>
      <w:r w:rsidRPr="0068456B">
        <w:rPr>
          <w:rFonts w:eastAsia="TimesNewRoman"/>
          <w:lang w:eastAsia="en-US"/>
        </w:rPr>
        <w:t xml:space="preserve"> фармакологической активностью. Так, например, 6-метилурацил </w:t>
      </w:r>
      <w:r w:rsidRPr="0068456B">
        <w:t xml:space="preserve">усиливает рост и размножение клеток, улучшая регенерацию в повреждённых тканях, ускоряет заживление ран, язв, ожогов </w:t>
      </w:r>
      <w:r w:rsidRPr="0068456B">
        <w:rPr>
          <w:rFonts w:eastAsia="TimesNewRoman"/>
          <w:lang w:eastAsia="en-US"/>
        </w:rPr>
        <w:t>[1]</w:t>
      </w:r>
      <w:r w:rsidR="00191FA8">
        <w:rPr>
          <w:rFonts w:eastAsia="TimesNewRoman"/>
          <w:lang w:eastAsia="en-US"/>
        </w:rPr>
        <w:t xml:space="preserve">. </w:t>
      </w:r>
      <w:r w:rsidR="00191FA8" w:rsidRPr="0068456B">
        <w:rPr>
          <w:rFonts w:eastAsia="TimesNewRoman"/>
          <w:lang w:eastAsia="en-US"/>
        </w:rPr>
        <w:t xml:space="preserve">С другой стороны, </w:t>
      </w:r>
      <w:proofErr w:type="spellStart"/>
      <w:r w:rsidR="00191FA8" w:rsidRPr="0068456B">
        <w:rPr>
          <w:rFonts w:eastAsia="TimesNewRoman"/>
          <w:lang w:eastAsia="en-US"/>
        </w:rPr>
        <w:t>гидразиды</w:t>
      </w:r>
      <w:proofErr w:type="spellEnd"/>
      <w:r w:rsidR="00191FA8" w:rsidRPr="0068456B">
        <w:rPr>
          <w:rFonts w:eastAsia="TimesNewRoman"/>
          <w:lang w:eastAsia="en-US"/>
        </w:rPr>
        <w:t xml:space="preserve"> карбоновых кислот обладают координационно-химическими свойствами, а их производные используются в различных отраслях техники, медицины и сельского хозяйства [</w:t>
      </w:r>
      <w:r w:rsidR="00191FA8">
        <w:rPr>
          <w:rFonts w:eastAsia="TimesNewRoman"/>
          <w:lang w:eastAsia="en-US"/>
        </w:rPr>
        <w:t>2</w:t>
      </w:r>
      <w:r w:rsidR="00191FA8" w:rsidRPr="0068456B">
        <w:rPr>
          <w:rFonts w:eastAsia="TimesNewRoman"/>
          <w:lang w:eastAsia="en-US"/>
        </w:rPr>
        <w:t>]</w:t>
      </w:r>
      <w:r w:rsidR="00191FA8">
        <w:rPr>
          <w:rFonts w:eastAsia="TimesNewRoman"/>
          <w:lang w:eastAsia="en-US"/>
        </w:rPr>
        <w:t>.</w:t>
      </w:r>
      <w:r w:rsidR="00191FA8" w:rsidRPr="00191FA8">
        <w:t xml:space="preserve"> </w:t>
      </w:r>
      <w:r w:rsidR="00191FA8">
        <w:t>В</w:t>
      </w:r>
      <w:r w:rsidR="00191FA8" w:rsidRPr="005B12F8">
        <w:t xml:space="preserve"> связи</w:t>
      </w:r>
      <w:r w:rsidR="00191FA8">
        <w:t xml:space="preserve"> с этим</w:t>
      </w:r>
      <w:r w:rsidR="00AA3D4E">
        <w:t>,</w:t>
      </w:r>
      <w:r w:rsidR="00191FA8" w:rsidRPr="005B12F8">
        <w:t xml:space="preserve"> был осуществлен синтез </w:t>
      </w:r>
      <w:proofErr w:type="spellStart"/>
      <w:r w:rsidR="00191FA8" w:rsidRPr="005B12F8">
        <w:t>гидразонов</w:t>
      </w:r>
      <w:proofErr w:type="spellEnd"/>
      <w:r w:rsidR="00191FA8" w:rsidRPr="005B12F8">
        <w:t xml:space="preserve"> с фрагментом 6-метилурацила.</w:t>
      </w:r>
      <w:r w:rsidR="00191FA8">
        <w:rPr>
          <w:sz w:val="20"/>
          <w:szCs w:val="20"/>
        </w:rPr>
        <w:t xml:space="preserve"> </w:t>
      </w:r>
    </w:p>
    <w:p w:rsidR="00191FA8" w:rsidRPr="00AA3D4E" w:rsidRDefault="00191FA8" w:rsidP="00AA3D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A3D4E">
        <w:t>Выбранный нами</w:t>
      </w:r>
      <w:r w:rsidR="00AA3D4E">
        <w:t xml:space="preserve"> метод</w:t>
      </w:r>
      <w:r w:rsidRPr="00AA3D4E">
        <w:rPr>
          <w:lang w:eastAsia="en-US"/>
        </w:rPr>
        <w:t xml:space="preserve"> для синтеза </w:t>
      </w:r>
      <w:r w:rsidRPr="00AA3D4E">
        <w:t>отличается</w:t>
      </w:r>
      <w:r>
        <w:t xml:space="preserve"> простотой проведения эксперимента и высокими выходами чистых продуктов (91-99</w:t>
      </w:r>
      <w:r w:rsidR="002174C3" w:rsidRPr="008A102D">
        <w:rPr>
          <w:rStyle w:val="citation"/>
          <w:lang w:val="en-US"/>
        </w:rPr>
        <w:t> </w:t>
      </w:r>
      <w:r>
        <w:t>%).</w:t>
      </w:r>
      <w:r w:rsidR="00AA3D4E">
        <w:rPr>
          <w:color w:val="000000"/>
        </w:rPr>
        <w:t xml:space="preserve"> </w:t>
      </w:r>
      <w:r>
        <w:t xml:space="preserve">При использовании </w:t>
      </w:r>
      <w:proofErr w:type="spellStart"/>
      <w:r>
        <w:t>гидразидов</w:t>
      </w:r>
      <w:proofErr w:type="spellEnd"/>
      <w:r>
        <w:t xml:space="preserve"> бензойной, 4-гидроксибензойной и анисовой кислот реакция протекала гладко, приводя к </w:t>
      </w:r>
      <w:proofErr w:type="spellStart"/>
      <w:r>
        <w:t>ацилгидразонам</w:t>
      </w:r>
      <w:proofErr w:type="spellEnd"/>
      <w:r>
        <w:t xml:space="preserve"> </w:t>
      </w:r>
      <w:r>
        <w:rPr>
          <w:b/>
        </w:rPr>
        <w:t>2-4</w:t>
      </w:r>
      <w:r>
        <w:t xml:space="preserve"> с высокими выходами (схема 2).</w:t>
      </w:r>
    </w:p>
    <w:p w:rsidR="00191FA8" w:rsidRPr="00191FA8" w:rsidRDefault="00191FA8" w:rsidP="00191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734084" cy="831336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863" cy="83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A8" w:rsidRDefault="00191FA8" w:rsidP="00191FA8">
      <w:pPr>
        <w:contextualSpacing/>
        <w:jc w:val="center"/>
      </w:pPr>
      <w:r w:rsidRPr="00191FA8">
        <w:t xml:space="preserve">Схема 1. Синтез </w:t>
      </w:r>
      <w:proofErr w:type="spellStart"/>
      <w:r w:rsidRPr="00191FA8">
        <w:t>гидразонов</w:t>
      </w:r>
      <w:proofErr w:type="spellEnd"/>
      <w:r w:rsidRPr="00191FA8">
        <w:t xml:space="preserve"> </w:t>
      </w:r>
      <w:r w:rsidRPr="00AA2F4A">
        <w:rPr>
          <w:b/>
        </w:rPr>
        <w:t>2-4</w:t>
      </w:r>
    </w:p>
    <w:p w:rsidR="00AA3D4E" w:rsidRDefault="00191FA8" w:rsidP="00AA3D4E">
      <w:pPr>
        <w:ind w:firstLine="426"/>
        <w:contextualSpacing/>
        <w:jc w:val="both"/>
      </w:pPr>
      <w:r w:rsidRPr="0096645A">
        <w:t>Структура</w:t>
      </w:r>
      <w:r w:rsidRPr="003043B1">
        <w:t xml:space="preserve"> </w:t>
      </w:r>
      <w:r w:rsidRPr="0096645A">
        <w:t>соединений</w:t>
      </w:r>
      <w:r w:rsidRPr="003043B1">
        <w:t xml:space="preserve"> </w:t>
      </w:r>
      <w:r>
        <w:rPr>
          <w:b/>
          <w:bCs/>
        </w:rPr>
        <w:t xml:space="preserve">2-4 </w:t>
      </w:r>
      <w:r w:rsidRPr="0096645A">
        <w:t>установлена</w:t>
      </w:r>
      <w:r w:rsidRPr="003043B1">
        <w:t xml:space="preserve"> </w:t>
      </w:r>
      <w:r>
        <w:t xml:space="preserve">по данным </w:t>
      </w:r>
      <w:r w:rsidRPr="00CE6CDF">
        <w:rPr>
          <w:vertAlign w:val="superscript"/>
        </w:rPr>
        <w:t>1</w:t>
      </w:r>
      <w:r>
        <w:t xml:space="preserve">H, </w:t>
      </w:r>
      <w:r w:rsidRPr="00CE6CDF">
        <w:rPr>
          <w:vertAlign w:val="superscript"/>
        </w:rPr>
        <w:t>13</w:t>
      </w:r>
      <w:r>
        <w:t xml:space="preserve">C и , </w:t>
      </w:r>
      <w:r w:rsidRPr="00CE6CDF">
        <w:rPr>
          <w:vertAlign w:val="superscript"/>
        </w:rPr>
        <w:t>1</w:t>
      </w:r>
      <w:r w:rsidRPr="00D825E3">
        <w:rPr>
          <w:vertAlign w:val="superscript"/>
        </w:rPr>
        <w:t>5</w:t>
      </w:r>
      <w:r>
        <w:rPr>
          <w:lang w:val="en-US"/>
        </w:rPr>
        <w:t>N</w:t>
      </w:r>
      <w:r w:rsidRPr="00CE6CDF">
        <w:t xml:space="preserve"> </w:t>
      </w:r>
      <w:r w:rsidRPr="0096645A">
        <w:t>ЯМР</w:t>
      </w:r>
      <w:r w:rsidRPr="003043B1">
        <w:t xml:space="preserve"> </w:t>
      </w:r>
      <w:r w:rsidRPr="0096645A">
        <w:t>спектров с</w:t>
      </w:r>
      <w:r w:rsidRPr="003043B1">
        <w:t xml:space="preserve"> </w:t>
      </w:r>
      <w:r w:rsidRPr="0096645A">
        <w:t>использованием</w:t>
      </w:r>
      <w:r w:rsidRPr="003043B1">
        <w:t xml:space="preserve"> </w:t>
      </w:r>
      <w:r w:rsidRPr="0096645A">
        <w:t>двумерных</w:t>
      </w:r>
      <w:r w:rsidRPr="003043B1">
        <w:t xml:space="preserve"> </w:t>
      </w:r>
      <w:r w:rsidRPr="0096645A">
        <w:t>корреляционных</w:t>
      </w:r>
      <w:r w:rsidRPr="003043B1">
        <w:t xml:space="preserve"> {</w:t>
      </w:r>
      <w:r w:rsidRPr="003043B1">
        <w:rPr>
          <w:vertAlign w:val="superscript"/>
        </w:rPr>
        <w:t>1</w:t>
      </w:r>
      <w:r w:rsidRPr="0096645A">
        <w:rPr>
          <w:lang w:val="en-US"/>
        </w:rPr>
        <w:t>H</w:t>
      </w:r>
      <w:r w:rsidRPr="003043B1">
        <w:t xml:space="preserve">, </w:t>
      </w:r>
      <w:r w:rsidRPr="003043B1">
        <w:rPr>
          <w:vertAlign w:val="superscript"/>
        </w:rPr>
        <w:t>13</w:t>
      </w:r>
      <w:r w:rsidRPr="0096645A">
        <w:rPr>
          <w:lang w:val="en-US"/>
        </w:rPr>
        <w:t>C</w:t>
      </w:r>
      <w:r w:rsidRPr="003043B1">
        <w:t>}</w:t>
      </w:r>
      <w:r>
        <w:t xml:space="preserve"> и </w:t>
      </w:r>
      <w:r w:rsidRPr="003043B1">
        <w:t>{</w:t>
      </w:r>
      <w:r w:rsidRPr="003043B1">
        <w:rPr>
          <w:vertAlign w:val="superscript"/>
        </w:rPr>
        <w:t>1</w:t>
      </w:r>
      <w:r w:rsidRPr="0096645A">
        <w:rPr>
          <w:lang w:val="en-US"/>
        </w:rPr>
        <w:t>H</w:t>
      </w:r>
      <w:r w:rsidRPr="003043B1">
        <w:t xml:space="preserve">, </w:t>
      </w:r>
      <w:r w:rsidRPr="003043B1">
        <w:rPr>
          <w:vertAlign w:val="superscript"/>
        </w:rPr>
        <w:t>1</w:t>
      </w:r>
      <w:r w:rsidRPr="006F675C">
        <w:rPr>
          <w:vertAlign w:val="superscript"/>
        </w:rPr>
        <w:t>5</w:t>
      </w:r>
      <w:r>
        <w:rPr>
          <w:lang w:val="en-US"/>
        </w:rPr>
        <w:t>N</w:t>
      </w:r>
      <w:r w:rsidRPr="003043B1">
        <w:t>}</w:t>
      </w:r>
      <w:r>
        <w:t xml:space="preserve"> </w:t>
      </w:r>
      <w:r w:rsidRPr="0096645A">
        <w:rPr>
          <w:lang w:val="en-US"/>
        </w:rPr>
        <w:t>HSQC</w:t>
      </w:r>
      <w:r w:rsidRPr="00CE6CDF">
        <w:t>,</w:t>
      </w:r>
      <w:r w:rsidRPr="003043B1">
        <w:t xml:space="preserve"> </w:t>
      </w:r>
      <w:r w:rsidRPr="0096645A">
        <w:rPr>
          <w:lang w:val="en-US"/>
        </w:rPr>
        <w:t>HMBC</w:t>
      </w:r>
      <w:r w:rsidRPr="00CE6CDF">
        <w:t xml:space="preserve"> </w:t>
      </w:r>
      <w:r>
        <w:t>и</w:t>
      </w:r>
      <w:r w:rsidRPr="003043B1">
        <w:t xml:space="preserve"> {</w:t>
      </w:r>
      <w:r w:rsidRPr="003043B1">
        <w:rPr>
          <w:vertAlign w:val="superscript"/>
        </w:rPr>
        <w:t>1</w:t>
      </w:r>
      <w:r w:rsidRPr="0096645A">
        <w:rPr>
          <w:lang w:val="en-US"/>
        </w:rPr>
        <w:t>H</w:t>
      </w:r>
      <w:r w:rsidRPr="003043B1">
        <w:t xml:space="preserve">, </w:t>
      </w:r>
      <w:r w:rsidRPr="003043B1">
        <w:rPr>
          <w:vertAlign w:val="superscript"/>
        </w:rPr>
        <w:t>1</w:t>
      </w:r>
      <w:r>
        <w:rPr>
          <w:lang w:val="en-US"/>
        </w:rPr>
        <w:t>H</w:t>
      </w:r>
      <w:r w:rsidRPr="003043B1">
        <w:t>}</w:t>
      </w:r>
      <w:r w:rsidRPr="006F675C">
        <w:t xml:space="preserve"> </w:t>
      </w:r>
      <w:r w:rsidRPr="0096645A">
        <w:rPr>
          <w:lang w:val="en-US"/>
        </w:rPr>
        <w:t>NOESY</w:t>
      </w:r>
      <w:r w:rsidRPr="006F675C">
        <w:t xml:space="preserve"> </w:t>
      </w:r>
      <w:r>
        <w:t xml:space="preserve">с привлечением </w:t>
      </w:r>
      <w:r w:rsidRPr="003043B1">
        <w:t>{</w:t>
      </w:r>
      <w:r w:rsidRPr="003043B1">
        <w:rPr>
          <w:vertAlign w:val="superscript"/>
        </w:rPr>
        <w:t>1</w:t>
      </w:r>
      <w:r w:rsidRPr="0096645A">
        <w:rPr>
          <w:lang w:val="en-US"/>
        </w:rPr>
        <w:t>H</w:t>
      </w:r>
      <w:r w:rsidRPr="003043B1">
        <w:t xml:space="preserve">, </w:t>
      </w:r>
      <w:r w:rsidRPr="003043B1">
        <w:rPr>
          <w:vertAlign w:val="superscript"/>
        </w:rPr>
        <w:t>13</w:t>
      </w:r>
      <w:r w:rsidRPr="0096645A">
        <w:rPr>
          <w:lang w:val="en-US"/>
        </w:rPr>
        <w:t>C</w:t>
      </w:r>
      <w:r w:rsidRPr="003043B1">
        <w:t>}</w:t>
      </w:r>
      <w:r>
        <w:t xml:space="preserve"> </w:t>
      </w:r>
      <w:r w:rsidRPr="0027190D">
        <w:t>LR-HSQMBC</w:t>
      </w:r>
      <w:r w:rsidRPr="006F675C">
        <w:t xml:space="preserve"> </w:t>
      </w:r>
      <w:r>
        <w:t>для оценки дальних протон-углеродных констант</w:t>
      </w:r>
      <w:r w:rsidR="00AA3D4E">
        <w:t xml:space="preserve"> </w:t>
      </w:r>
      <w:r w:rsidR="00AA3D4E" w:rsidRPr="00AA3D4E">
        <w:t>[3]</w:t>
      </w:r>
      <w:r>
        <w:t>.</w:t>
      </w:r>
      <w:r w:rsidRPr="00CE6CDF">
        <w:t xml:space="preserve"> </w:t>
      </w:r>
      <w:r>
        <w:t xml:space="preserve">В исследованиях последних лет активно изучается </w:t>
      </w:r>
      <w:r>
        <w:rPr>
          <w:lang w:val="en-US"/>
        </w:rPr>
        <w:t>Z</w:t>
      </w:r>
      <w:r w:rsidRPr="004B4EA7">
        <w:t>/</w:t>
      </w:r>
      <w:r>
        <w:rPr>
          <w:lang w:val="en-US"/>
        </w:rPr>
        <w:t>E</w:t>
      </w:r>
      <w:r w:rsidRPr="004B4EA7">
        <w:t xml:space="preserve"> </w:t>
      </w:r>
      <w:r>
        <w:t>изомеризация -С=</w:t>
      </w:r>
      <w:r>
        <w:rPr>
          <w:lang w:val="en-US"/>
        </w:rPr>
        <w:t>N</w:t>
      </w:r>
      <w:r>
        <w:t xml:space="preserve">- двойной связи в ароматических </w:t>
      </w:r>
      <w:proofErr w:type="spellStart"/>
      <w:r>
        <w:t>ацилгидразонах</w:t>
      </w:r>
      <w:proofErr w:type="spellEnd"/>
      <w:r w:rsidR="00432C8A">
        <w:t xml:space="preserve">. </w:t>
      </w:r>
      <w:r>
        <w:t>В нашем случае для соединени</w:t>
      </w:r>
      <w:r w:rsidR="00AA3D4E">
        <w:t>я</w:t>
      </w:r>
      <w:r>
        <w:t xml:space="preserve"> </w:t>
      </w:r>
      <w:r w:rsidR="00AA3D4E">
        <w:rPr>
          <w:b/>
          <w:bCs/>
        </w:rPr>
        <w:t>2</w:t>
      </w:r>
      <w:r w:rsidRPr="003043B1">
        <w:t xml:space="preserve"> </w:t>
      </w:r>
      <w:r>
        <w:t>была установлена</w:t>
      </w:r>
      <w:r w:rsidRPr="003043B1">
        <w:t xml:space="preserve"> </w:t>
      </w:r>
      <w:r>
        <w:t xml:space="preserve">более предпочтительная </w:t>
      </w:r>
      <w:r>
        <w:rPr>
          <w:lang w:val="en-US"/>
        </w:rPr>
        <w:t>E</w:t>
      </w:r>
      <w:r w:rsidRPr="00EF2231">
        <w:t>-</w:t>
      </w:r>
      <w:r>
        <w:t>конфигурация двойной связи</w:t>
      </w:r>
      <w:proofErr w:type="gramStart"/>
      <w:r>
        <w:t xml:space="preserve"> С</w:t>
      </w:r>
      <w:proofErr w:type="gramEnd"/>
      <w:r>
        <w:t>(1</w:t>
      </w:r>
      <w:r w:rsidRPr="00E8017F">
        <w:t>'</w:t>
      </w:r>
      <w:r>
        <w:t>)=</w:t>
      </w:r>
      <w:r>
        <w:rPr>
          <w:lang w:val="en-US"/>
        </w:rPr>
        <w:t>N</w:t>
      </w:r>
      <w:r>
        <w:t>(</w:t>
      </w:r>
      <w:r w:rsidRPr="00EF2231">
        <w:t>2</w:t>
      </w:r>
      <w:r w:rsidRPr="00E8017F">
        <w:t>'</w:t>
      </w:r>
      <w:r>
        <w:t>)</w:t>
      </w:r>
      <w:r w:rsidRPr="00EF2231">
        <w:t xml:space="preserve"> </w:t>
      </w:r>
      <w:r>
        <w:t xml:space="preserve">на основании </w:t>
      </w:r>
      <w:r>
        <w:rPr>
          <w:lang w:val="en-US"/>
        </w:rPr>
        <w:t>NOESY</w:t>
      </w:r>
      <w:r w:rsidRPr="00EF2231">
        <w:t xml:space="preserve"> </w:t>
      </w:r>
      <w:proofErr w:type="spellStart"/>
      <w:r>
        <w:t>кросс-пиков</w:t>
      </w:r>
      <w:proofErr w:type="spellEnd"/>
      <w:r>
        <w:t xml:space="preserve"> между </w:t>
      </w:r>
      <w:r>
        <w:rPr>
          <w:lang w:val="en-US"/>
        </w:rPr>
        <w:t>H</w:t>
      </w:r>
      <w:r>
        <w:t>(</w:t>
      </w:r>
      <w:r w:rsidRPr="00AE4C89">
        <w:t>1</w:t>
      </w:r>
      <w:r w:rsidRPr="00E8017F">
        <w:t>'</w:t>
      </w:r>
      <w:r>
        <w:t xml:space="preserve">) и </w:t>
      </w:r>
      <w:r>
        <w:rPr>
          <w:lang w:val="en-US"/>
        </w:rPr>
        <w:t>H</w:t>
      </w:r>
      <w:r>
        <w:t>(3</w:t>
      </w:r>
      <w:r w:rsidRPr="00E8017F">
        <w:t>'</w:t>
      </w:r>
      <w:r>
        <w:t xml:space="preserve">), а </w:t>
      </w:r>
      <w:r w:rsidRPr="001C63B7">
        <w:rPr>
          <w:i/>
          <w:iCs/>
          <w:lang w:val="en-US"/>
        </w:rPr>
        <w:t>s</w:t>
      </w:r>
      <w:r w:rsidRPr="006F675C">
        <w:t>-</w:t>
      </w:r>
      <w:proofErr w:type="spellStart"/>
      <w:r>
        <w:t>трансоидная</w:t>
      </w:r>
      <w:proofErr w:type="spellEnd"/>
      <w:r>
        <w:t xml:space="preserve"> конфигурация </w:t>
      </w:r>
      <w:r>
        <w:rPr>
          <w:lang w:val="en-US"/>
        </w:rPr>
        <w:t>N</w:t>
      </w:r>
      <w:r>
        <w:t>(</w:t>
      </w:r>
      <w:r w:rsidRPr="00EF2231">
        <w:t>2</w:t>
      </w:r>
      <w:r w:rsidRPr="00E8017F">
        <w:t>'</w:t>
      </w:r>
      <w:r>
        <w:t>)–</w:t>
      </w:r>
      <w:r>
        <w:rPr>
          <w:lang w:val="en-US"/>
        </w:rPr>
        <w:t>N</w:t>
      </w:r>
      <w:r>
        <w:t>(3</w:t>
      </w:r>
      <w:r w:rsidRPr="00E8017F">
        <w:t>'</w:t>
      </w:r>
      <w:r>
        <w:t>)</w:t>
      </w:r>
      <w:r w:rsidRPr="00EF2231">
        <w:t xml:space="preserve"> </w:t>
      </w:r>
      <w:r>
        <w:t xml:space="preserve">связи подтверждается </w:t>
      </w:r>
      <w:proofErr w:type="spellStart"/>
      <w:r w:rsidRPr="00D825E3">
        <w:rPr>
          <w:i/>
          <w:iCs/>
        </w:rPr>
        <w:t>цис</w:t>
      </w:r>
      <w:r w:rsidRPr="00D825E3">
        <w:t>-</w:t>
      </w:r>
      <w:r>
        <w:t>значениями</w:t>
      </w:r>
      <w:proofErr w:type="spellEnd"/>
      <w:r>
        <w:t xml:space="preserve"> </w:t>
      </w:r>
      <w:r>
        <w:rPr>
          <w:vertAlign w:val="superscript"/>
        </w:rPr>
        <w:t>3</w:t>
      </w:r>
      <w:r w:rsidRPr="00497332">
        <w:rPr>
          <w:i/>
        </w:rPr>
        <w:t>J</w:t>
      </w:r>
      <w:r w:rsidRPr="00497332">
        <w:rPr>
          <w:vertAlign w:val="subscript"/>
        </w:rPr>
        <w:t>HC</w:t>
      </w:r>
      <w:r w:rsidRPr="00AE4C89">
        <w:t xml:space="preserve"> </w:t>
      </w:r>
      <w:r>
        <w:t>3</w:t>
      </w:r>
      <w:r w:rsidRPr="00AE4C89">
        <w:t>.</w:t>
      </w:r>
      <w:r>
        <w:t>7</w:t>
      </w:r>
      <w:r w:rsidRPr="004D79F9">
        <w:t xml:space="preserve"> </w:t>
      </w:r>
      <w:r>
        <w:t>÷</w:t>
      </w:r>
      <w:r w:rsidRPr="004D79F9">
        <w:t xml:space="preserve"> 4.0</w:t>
      </w:r>
      <w:r w:rsidRPr="00AE4C89">
        <w:t xml:space="preserve"> </w:t>
      </w:r>
      <w:r>
        <w:t xml:space="preserve">Гц между </w:t>
      </w:r>
      <w:r>
        <w:rPr>
          <w:lang w:val="en-US"/>
        </w:rPr>
        <w:t>H</w:t>
      </w:r>
      <w:r>
        <w:t>(3</w:t>
      </w:r>
      <w:r w:rsidRPr="00E8017F">
        <w:t>'</w:t>
      </w:r>
      <w:r>
        <w:t>)</w:t>
      </w:r>
      <w:r w:rsidRPr="006F675C">
        <w:t xml:space="preserve"> </w:t>
      </w:r>
      <w:r>
        <w:t xml:space="preserve">и </w:t>
      </w:r>
      <w:r>
        <w:rPr>
          <w:lang w:val="en-US"/>
        </w:rPr>
        <w:t>C</w:t>
      </w:r>
      <w:r>
        <w:t>(</w:t>
      </w:r>
      <w:r w:rsidRPr="006F675C">
        <w:t>1</w:t>
      </w:r>
      <w:r w:rsidRPr="00E8017F">
        <w:t>'</w:t>
      </w:r>
      <w:r>
        <w:t xml:space="preserve">). Значения экспериментальных </w:t>
      </w:r>
      <w:proofErr w:type="gramStart"/>
      <w:r w:rsidRPr="003335E1">
        <w:t>углерод-</w:t>
      </w:r>
      <w:r>
        <w:t>протонных</w:t>
      </w:r>
      <w:proofErr w:type="gramEnd"/>
      <w:r w:rsidRPr="003335E1">
        <w:t xml:space="preserve"> констант </w:t>
      </w:r>
      <w:r>
        <w:rPr>
          <w:vertAlign w:val="superscript"/>
        </w:rPr>
        <w:t>3</w:t>
      </w:r>
      <w:r w:rsidRPr="00497332">
        <w:rPr>
          <w:i/>
        </w:rPr>
        <w:t>J</w:t>
      </w:r>
      <w:r w:rsidRPr="00497332">
        <w:rPr>
          <w:vertAlign w:val="subscript"/>
        </w:rPr>
        <w:t>HC</w:t>
      </w:r>
      <w:r>
        <w:t xml:space="preserve"> полученных по данным спектров </w:t>
      </w:r>
      <w:r w:rsidRPr="0027190D">
        <w:t>LR-HSQMBC</w:t>
      </w:r>
      <w:r>
        <w:t xml:space="preserve"> и отнесения их к </w:t>
      </w:r>
      <w:proofErr w:type="spellStart"/>
      <w:r w:rsidRPr="00FA4D9B">
        <w:rPr>
          <w:i/>
          <w:iCs/>
        </w:rPr>
        <w:t>цис</w:t>
      </w:r>
      <w:proofErr w:type="spellEnd"/>
      <w:r>
        <w:t xml:space="preserve"> или </w:t>
      </w:r>
      <w:r w:rsidRPr="00FA4D9B">
        <w:rPr>
          <w:i/>
          <w:iCs/>
        </w:rPr>
        <w:t>транс</w:t>
      </w:r>
      <w:r>
        <w:t xml:space="preserve"> величинам находятся в прямом соответствии с данными </w:t>
      </w:r>
      <w:r w:rsidRPr="003335E1">
        <w:t>расчет</w:t>
      </w:r>
      <w:r>
        <w:t xml:space="preserve">ов вклада контактного взаимодействия Ферми в константы ядерных спин-спиновых взаимодействий </w:t>
      </w:r>
      <w:r w:rsidRPr="00715D2F">
        <w:t xml:space="preserve">в приближении </w:t>
      </w:r>
      <w:r w:rsidRPr="003335E1">
        <w:t>B3LYP/6-311++G(</w:t>
      </w:r>
      <w:proofErr w:type="spellStart"/>
      <w:r w:rsidRPr="003335E1">
        <w:t>d,p</w:t>
      </w:r>
      <w:proofErr w:type="spellEnd"/>
      <w:r w:rsidRPr="003335E1">
        <w:t>)</w:t>
      </w:r>
      <w:r w:rsidRPr="005072F2">
        <w:rPr>
          <w:lang w:val="en-US"/>
        </w:rPr>
        <w:t>u</w:t>
      </w:r>
      <w:r w:rsidRPr="005072F2">
        <w:t>+1</w:t>
      </w:r>
      <w:r w:rsidRPr="005072F2">
        <w:rPr>
          <w:lang w:val="en-US"/>
        </w:rPr>
        <w:t>s</w:t>
      </w:r>
      <w:r w:rsidRPr="00733413">
        <w:t>.</w:t>
      </w:r>
    </w:p>
    <w:p w:rsidR="00AA3D4E" w:rsidRPr="00AA3D4E" w:rsidRDefault="00AA3D4E" w:rsidP="00AA3D4E">
      <w:pPr>
        <w:ind w:firstLine="426"/>
        <w:contextualSpacing/>
        <w:jc w:val="both"/>
      </w:pPr>
      <w:r w:rsidRPr="00432C8A">
        <w:rPr>
          <w:rFonts w:eastAsia="TimesNewRoman"/>
          <w:lang w:eastAsia="en-US"/>
        </w:rPr>
        <w:t xml:space="preserve">Таким образом, синтезирован ряд </w:t>
      </w:r>
      <w:proofErr w:type="spellStart"/>
      <w:r w:rsidRPr="00432C8A">
        <w:rPr>
          <w:rFonts w:eastAsia="TimesNewRoman"/>
          <w:lang w:eastAsia="en-US"/>
        </w:rPr>
        <w:t>гидразонов</w:t>
      </w:r>
      <w:proofErr w:type="spellEnd"/>
      <w:r w:rsidRPr="00432C8A">
        <w:rPr>
          <w:rFonts w:eastAsia="TimesNewRoman"/>
          <w:lang w:eastAsia="en-US"/>
        </w:rPr>
        <w:t xml:space="preserve"> с высокими выходами на основе </w:t>
      </w:r>
      <w:r w:rsidRPr="00432C8A">
        <w:t>6-метил-5-формилурацила</w:t>
      </w:r>
      <w:r w:rsidRPr="00432C8A">
        <w:rPr>
          <w:rFonts w:eastAsia="TimesNewRoman"/>
          <w:lang w:eastAsia="en-US"/>
        </w:rPr>
        <w:t>, с целью расширения библиотеки соединений пиримидиновых оснований и дальнейшего изучения биологической ак</w:t>
      </w:r>
      <w:r w:rsidR="0090680F">
        <w:rPr>
          <w:rFonts w:eastAsia="TimesNewRoman"/>
          <w:lang w:eastAsia="en-US"/>
        </w:rPr>
        <w:t xml:space="preserve">тивности полученных </w:t>
      </w:r>
      <w:proofErr w:type="spellStart"/>
      <w:r w:rsidR="0090680F">
        <w:rPr>
          <w:rFonts w:eastAsia="TimesNewRoman"/>
          <w:lang w:eastAsia="en-US"/>
        </w:rPr>
        <w:t>гидразонов</w:t>
      </w:r>
      <w:proofErr w:type="spellEnd"/>
      <w:r w:rsidR="0090680F">
        <w:rPr>
          <w:rFonts w:eastAsia="TimesNewRoman"/>
          <w:lang w:eastAsia="en-US"/>
        </w:rPr>
        <w:t xml:space="preserve">. </w:t>
      </w:r>
      <w:r w:rsidRPr="00432C8A">
        <w:rPr>
          <w:rFonts w:eastAsia="TimesNewRoman"/>
          <w:lang w:eastAsia="en-US"/>
        </w:rPr>
        <w:t>Для соединения</w:t>
      </w:r>
      <w:r>
        <w:rPr>
          <w:rFonts w:eastAsia="TimesNewRoman"/>
          <w:lang w:eastAsia="en-US"/>
        </w:rPr>
        <w:t xml:space="preserve"> </w:t>
      </w:r>
      <w:r>
        <w:rPr>
          <w:rFonts w:eastAsia="TimesNewRoman"/>
          <w:b/>
          <w:lang w:eastAsia="en-US"/>
        </w:rPr>
        <w:t>2</w:t>
      </w:r>
      <w:r>
        <w:rPr>
          <w:rFonts w:eastAsia="TimesNewRoman"/>
          <w:lang w:eastAsia="en-US"/>
        </w:rPr>
        <w:t xml:space="preserve"> </w:t>
      </w:r>
      <w:r w:rsidRPr="00506D5D">
        <w:t xml:space="preserve">установлена более предпочтительная </w:t>
      </w:r>
      <w:r w:rsidRPr="00506D5D">
        <w:rPr>
          <w:lang w:val="en-US"/>
        </w:rPr>
        <w:t>E</w:t>
      </w:r>
      <w:r w:rsidR="00A1394D">
        <w:t xml:space="preserve">-конфигурация </w:t>
      </w:r>
      <w:r w:rsidRPr="00506D5D">
        <w:t>связи</w:t>
      </w:r>
      <w:proofErr w:type="gramStart"/>
      <w:r w:rsidRPr="00506D5D">
        <w:t xml:space="preserve"> С</w:t>
      </w:r>
      <w:proofErr w:type="gramEnd"/>
      <w:r w:rsidRPr="00506D5D">
        <w:t>=</w:t>
      </w:r>
      <w:r w:rsidRPr="00506D5D">
        <w:rPr>
          <w:lang w:val="en-US"/>
        </w:rPr>
        <w:t>N</w:t>
      </w:r>
      <w:r>
        <w:t xml:space="preserve">. </w:t>
      </w:r>
    </w:p>
    <w:p w:rsidR="00A02163" w:rsidRPr="00432C8A" w:rsidRDefault="00432C8A" w:rsidP="00432C8A">
      <w:pPr>
        <w:ind w:firstLine="425"/>
        <w:contextualSpacing/>
        <w:jc w:val="both"/>
        <w:rPr>
          <w:rFonts w:eastAsia="TimesNewRomanPSMT"/>
          <w:i/>
          <w:color w:val="010101"/>
        </w:rPr>
      </w:pPr>
      <w:r w:rsidRPr="00432C8A">
        <w:rPr>
          <w:i/>
        </w:rPr>
        <w:t xml:space="preserve">Работа выполнена в рамках государственного задания </w:t>
      </w:r>
      <w:proofErr w:type="spellStart"/>
      <w:r w:rsidRPr="00432C8A">
        <w:rPr>
          <w:i/>
        </w:rPr>
        <w:t>Минобрнауки</w:t>
      </w:r>
      <w:proofErr w:type="spellEnd"/>
      <w:r w:rsidRPr="00432C8A">
        <w:rPr>
          <w:i/>
        </w:rPr>
        <w:t xml:space="preserve"> России по теме № </w:t>
      </w:r>
      <w:r w:rsidRPr="00432C8A">
        <w:rPr>
          <w:rFonts w:eastAsia="TimesNewRomanPSMT"/>
          <w:i/>
          <w:color w:val="010101"/>
        </w:rPr>
        <w:t>122031400260-7.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91FA8" w:rsidRPr="008A102D" w:rsidRDefault="00191FA8" w:rsidP="00AA3D4E">
      <w:pPr>
        <w:widowControl w:val="0"/>
        <w:contextualSpacing/>
        <w:jc w:val="both"/>
        <w:rPr>
          <w:rStyle w:val="citation"/>
        </w:rPr>
      </w:pPr>
      <w:r w:rsidRPr="00AA3D4E">
        <w:rPr>
          <w:iCs/>
        </w:rPr>
        <w:t xml:space="preserve">1. </w:t>
      </w:r>
      <w:proofErr w:type="spellStart"/>
      <w:r w:rsidRPr="00AA3D4E">
        <w:rPr>
          <w:rStyle w:val="citation"/>
        </w:rPr>
        <w:t>Метилурацил</w:t>
      </w:r>
      <w:proofErr w:type="spellEnd"/>
      <w:r w:rsidRPr="00AA3D4E">
        <w:rPr>
          <w:rStyle w:val="citation"/>
        </w:rPr>
        <w:t xml:space="preserve"> / ред. </w:t>
      </w:r>
      <w:proofErr w:type="spellStart"/>
      <w:r w:rsidR="008A102D">
        <w:rPr>
          <w:iCs/>
        </w:rPr>
        <w:t>Машковский</w:t>
      </w:r>
      <w:proofErr w:type="spellEnd"/>
      <w:r w:rsidR="008A102D" w:rsidRPr="008A102D">
        <w:rPr>
          <w:iCs/>
        </w:rPr>
        <w:t xml:space="preserve"> </w:t>
      </w:r>
      <w:r w:rsidR="008A102D">
        <w:rPr>
          <w:iCs/>
        </w:rPr>
        <w:t>М</w:t>
      </w:r>
      <w:r w:rsidR="008A102D" w:rsidRPr="008A102D">
        <w:rPr>
          <w:iCs/>
        </w:rPr>
        <w:t>.</w:t>
      </w:r>
      <w:r w:rsidR="008A102D">
        <w:rPr>
          <w:iCs/>
        </w:rPr>
        <w:t>Д</w:t>
      </w:r>
      <w:r w:rsidR="008A102D" w:rsidRPr="008A102D">
        <w:rPr>
          <w:iCs/>
        </w:rPr>
        <w:t>.</w:t>
      </w:r>
      <w:r w:rsidRPr="008A102D">
        <w:rPr>
          <w:iCs/>
        </w:rPr>
        <w:t xml:space="preserve"> </w:t>
      </w:r>
      <w:r w:rsidRPr="00AA3D4E">
        <w:rPr>
          <w:rStyle w:val="citation"/>
        </w:rPr>
        <w:t>М</w:t>
      </w:r>
      <w:r w:rsidRPr="008A102D">
        <w:rPr>
          <w:rStyle w:val="citation"/>
        </w:rPr>
        <w:t xml:space="preserve">.: </w:t>
      </w:r>
      <w:r w:rsidRPr="00AA3D4E">
        <w:rPr>
          <w:rStyle w:val="citation"/>
        </w:rPr>
        <w:t>Новая</w:t>
      </w:r>
      <w:r w:rsidRPr="008A102D">
        <w:rPr>
          <w:rStyle w:val="citation"/>
        </w:rPr>
        <w:t xml:space="preserve"> </w:t>
      </w:r>
      <w:r w:rsidRPr="00AA3D4E">
        <w:rPr>
          <w:rStyle w:val="citation"/>
        </w:rPr>
        <w:t>Волна</w:t>
      </w:r>
      <w:r w:rsidRPr="008A102D">
        <w:rPr>
          <w:rStyle w:val="citation"/>
        </w:rPr>
        <w:t>, 2005, 15,</w:t>
      </w:r>
      <w:r w:rsidRPr="008A102D">
        <w:rPr>
          <w:rStyle w:val="citation"/>
          <w:lang w:val="en-US"/>
        </w:rPr>
        <w:t> </w:t>
      </w:r>
      <w:r w:rsidRPr="008A102D">
        <w:rPr>
          <w:rStyle w:val="citation"/>
        </w:rPr>
        <w:t>1200</w:t>
      </w:r>
      <w:r w:rsidRPr="008A102D">
        <w:rPr>
          <w:rStyle w:val="citation"/>
          <w:lang w:val="en-US"/>
        </w:rPr>
        <w:t> </w:t>
      </w:r>
      <w:r w:rsidRPr="00AA3D4E">
        <w:rPr>
          <w:rStyle w:val="citation"/>
        </w:rPr>
        <w:t>с</w:t>
      </w:r>
      <w:r w:rsidRPr="008A102D">
        <w:rPr>
          <w:rStyle w:val="citation"/>
        </w:rPr>
        <w:t>.</w:t>
      </w:r>
      <w:r w:rsidRPr="008A102D">
        <w:rPr>
          <w:rStyle w:val="citation"/>
          <w:lang w:val="en-US"/>
        </w:rPr>
        <w:t> </w:t>
      </w:r>
    </w:p>
    <w:p w:rsidR="00191FA8" w:rsidRPr="00AA3D4E" w:rsidRDefault="00191FA8" w:rsidP="00AA3D4E">
      <w:pPr>
        <w:widowControl w:val="0"/>
        <w:contextualSpacing/>
        <w:jc w:val="both"/>
        <w:rPr>
          <w:lang w:val="en-US"/>
        </w:rPr>
      </w:pPr>
      <w:r w:rsidRPr="00AA3D4E">
        <w:rPr>
          <w:rStyle w:val="citation"/>
          <w:lang w:val="en-US"/>
        </w:rPr>
        <w:t xml:space="preserve">2. </w:t>
      </w:r>
      <w:r w:rsidRPr="00AA3D4E">
        <w:rPr>
          <w:lang w:val="en-US"/>
        </w:rPr>
        <w:t xml:space="preserve">Lu C., </w:t>
      </w:r>
      <w:proofErr w:type="spellStart"/>
      <w:r w:rsidRPr="00AA3D4E">
        <w:rPr>
          <w:lang w:val="en-US"/>
        </w:rPr>
        <w:t>Htan</w:t>
      </w:r>
      <w:proofErr w:type="spellEnd"/>
      <w:r w:rsidRPr="00AA3D4E">
        <w:rPr>
          <w:lang w:val="en-US"/>
        </w:rPr>
        <w:t xml:space="preserve"> B., Ma C., Liao R.-Z., </w:t>
      </w:r>
      <w:proofErr w:type="spellStart"/>
      <w:r w:rsidRPr="00AA3D4E">
        <w:rPr>
          <w:lang w:val="en-US"/>
        </w:rPr>
        <w:t>Gan</w:t>
      </w:r>
      <w:proofErr w:type="spellEnd"/>
      <w:r w:rsidRPr="00AA3D4E">
        <w:rPr>
          <w:lang w:val="en-US"/>
        </w:rPr>
        <w:t xml:space="preserve"> Q. </w:t>
      </w:r>
      <w:proofErr w:type="spellStart"/>
      <w:r w:rsidRPr="00AA3D4E">
        <w:rPr>
          <w:lang w:val="en-US"/>
        </w:rPr>
        <w:t>Acylhydrazone</w:t>
      </w:r>
      <w:proofErr w:type="spellEnd"/>
      <w:r w:rsidRPr="00AA3D4E">
        <w:rPr>
          <w:lang w:val="en-US"/>
        </w:rPr>
        <w:t xml:space="preserve"> Switches: E/Z Stability Reversed by Introduction of Hydrogen Bonds</w:t>
      </w:r>
      <w:r w:rsidR="00AA3D4E" w:rsidRPr="00AA3D4E">
        <w:rPr>
          <w:lang w:val="en-US"/>
        </w:rPr>
        <w:t xml:space="preserve"> </w:t>
      </w:r>
      <w:r w:rsidRPr="00AA3D4E">
        <w:rPr>
          <w:lang w:val="en-US"/>
        </w:rPr>
        <w:t xml:space="preserve">// Eur. J. Org. Chem. 2018, </w:t>
      </w:r>
      <w:r w:rsidRPr="00AA3D4E">
        <w:rPr>
          <w:color w:val="000000"/>
          <w:lang w:val="en-US"/>
        </w:rPr>
        <w:t xml:space="preserve">Vol. </w:t>
      </w:r>
      <w:r w:rsidRPr="00AA3D4E">
        <w:rPr>
          <w:lang w:val="en-US"/>
        </w:rPr>
        <w:t>48</w:t>
      </w:r>
      <w:r w:rsidR="002174C3" w:rsidRPr="002174C3">
        <w:rPr>
          <w:lang w:val="en-US"/>
        </w:rPr>
        <w:t>.</w:t>
      </w:r>
      <w:r w:rsidRPr="00AA3D4E">
        <w:rPr>
          <w:lang w:val="en-US"/>
        </w:rPr>
        <w:t xml:space="preserve"> </w:t>
      </w:r>
      <w:r w:rsidRPr="00AA3D4E">
        <w:t>Р</w:t>
      </w:r>
      <w:r w:rsidRPr="00AA3D4E">
        <w:rPr>
          <w:lang w:val="en-US"/>
        </w:rPr>
        <w:t>. 7046</w:t>
      </w:r>
      <w:r w:rsidR="00AA3D4E" w:rsidRPr="00AA3D4E">
        <w:rPr>
          <w:rFonts w:eastAsia="TimesNewRoman"/>
          <w:lang w:val="en-US" w:eastAsia="en-US"/>
        </w:rPr>
        <w:t>-7050.</w:t>
      </w:r>
    </w:p>
    <w:p w:rsidR="00191FA8" w:rsidRPr="008A102D" w:rsidRDefault="00AA3D4E" w:rsidP="00AA3D4E">
      <w:pPr>
        <w:pStyle w:val="1"/>
        <w:keepNext w:val="0"/>
        <w:keepLines w:val="0"/>
        <w:widowControl w:val="0"/>
        <w:shd w:val="clear" w:color="auto" w:fill="FFFFFF"/>
        <w:spacing w:before="0" w:after="0"/>
        <w:contextualSpacing/>
        <w:jc w:val="both"/>
        <w:rPr>
          <w:rStyle w:val="citation"/>
          <w:b w:val="0"/>
          <w:color w:val="000000" w:themeColor="text1"/>
          <w:sz w:val="24"/>
          <w:szCs w:val="24"/>
        </w:rPr>
      </w:pPr>
      <w:r w:rsidRPr="008A102D">
        <w:rPr>
          <w:rStyle w:val="citation"/>
          <w:b w:val="0"/>
          <w:color w:val="000000" w:themeColor="text1"/>
          <w:sz w:val="24"/>
          <w:szCs w:val="24"/>
          <w:lang w:val="en-US"/>
        </w:rPr>
        <w:t xml:space="preserve">3. </w:t>
      </w:r>
      <w:r w:rsidRPr="008A102D">
        <w:rPr>
          <w:b w:val="0"/>
          <w:color w:val="000000" w:themeColor="text1"/>
          <w:sz w:val="24"/>
          <w:szCs w:val="24"/>
          <w:lang w:val="en-US"/>
        </w:rPr>
        <w:t xml:space="preserve">Williamson R.T., </w:t>
      </w:r>
      <w:proofErr w:type="spellStart"/>
      <w:r w:rsidRPr="008A102D">
        <w:rPr>
          <w:b w:val="0"/>
          <w:color w:val="000000" w:themeColor="text1"/>
          <w:sz w:val="24"/>
          <w:szCs w:val="24"/>
          <w:lang w:val="en-US"/>
        </w:rPr>
        <w:t>Buevich</w:t>
      </w:r>
      <w:proofErr w:type="spellEnd"/>
      <w:r w:rsidRPr="008A102D">
        <w:rPr>
          <w:b w:val="0"/>
          <w:color w:val="000000" w:themeColor="text1"/>
          <w:sz w:val="24"/>
          <w:szCs w:val="24"/>
          <w:lang w:val="en-US"/>
        </w:rPr>
        <w:t xml:space="preserve"> A.V., Martin G.E., </w:t>
      </w:r>
      <w:proofErr w:type="spellStart"/>
      <w:r w:rsidRPr="008A102D">
        <w:rPr>
          <w:b w:val="0"/>
          <w:color w:val="000000" w:themeColor="text1"/>
          <w:sz w:val="24"/>
          <w:szCs w:val="24"/>
          <w:lang w:val="en-US"/>
        </w:rPr>
        <w:t>Parella</w:t>
      </w:r>
      <w:proofErr w:type="spellEnd"/>
      <w:r w:rsidRPr="008A102D">
        <w:rPr>
          <w:b w:val="0"/>
          <w:color w:val="000000" w:themeColor="text1"/>
          <w:sz w:val="24"/>
          <w:szCs w:val="24"/>
          <w:lang w:val="en-US"/>
        </w:rPr>
        <w:t xml:space="preserve"> T. LR-HSQMBC: a sensitive NMR technique to probe very long-range </w:t>
      </w:r>
      <w:proofErr w:type="spellStart"/>
      <w:r w:rsidRPr="008A102D">
        <w:rPr>
          <w:b w:val="0"/>
          <w:color w:val="000000" w:themeColor="text1"/>
          <w:sz w:val="24"/>
          <w:szCs w:val="24"/>
          <w:lang w:val="en-US"/>
        </w:rPr>
        <w:t>heteronuclear</w:t>
      </w:r>
      <w:proofErr w:type="spellEnd"/>
      <w:r w:rsidRPr="008A102D">
        <w:rPr>
          <w:b w:val="0"/>
          <w:color w:val="000000" w:themeColor="text1"/>
          <w:sz w:val="24"/>
          <w:szCs w:val="24"/>
          <w:lang w:val="en-US"/>
        </w:rPr>
        <w:t xml:space="preserve"> coupling pathways // J. Org. Chem</w:t>
      </w:r>
      <w:r w:rsidRPr="008A102D">
        <w:rPr>
          <w:b w:val="0"/>
          <w:i/>
          <w:color w:val="000000" w:themeColor="text1"/>
          <w:sz w:val="24"/>
          <w:szCs w:val="24"/>
          <w:lang w:val="en-US"/>
        </w:rPr>
        <w:t>.</w:t>
      </w:r>
      <w:r w:rsidRPr="008A102D">
        <w:rPr>
          <w:b w:val="0"/>
          <w:color w:val="000000" w:themeColor="text1"/>
          <w:sz w:val="24"/>
          <w:szCs w:val="24"/>
          <w:lang w:val="en-US"/>
        </w:rPr>
        <w:t xml:space="preserve"> 2014. Vol. 79</w:t>
      </w:r>
      <w:r w:rsidR="008A102D" w:rsidRPr="008A102D">
        <w:rPr>
          <w:b w:val="0"/>
          <w:color w:val="000000" w:themeColor="text1"/>
          <w:sz w:val="24"/>
          <w:szCs w:val="24"/>
        </w:rPr>
        <w:t>.</w:t>
      </w:r>
      <w:r w:rsidRPr="008A102D"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8A102D">
        <w:rPr>
          <w:b w:val="0"/>
          <w:color w:val="000000" w:themeColor="text1"/>
          <w:sz w:val="24"/>
          <w:szCs w:val="24"/>
        </w:rPr>
        <w:t>Р</w:t>
      </w:r>
      <w:r w:rsidRPr="008A102D">
        <w:rPr>
          <w:b w:val="0"/>
          <w:color w:val="000000" w:themeColor="text1"/>
          <w:sz w:val="24"/>
          <w:szCs w:val="24"/>
          <w:lang w:val="en-US"/>
        </w:rPr>
        <w:t>. 3887</w:t>
      </w:r>
      <w:r w:rsidRPr="008A102D">
        <w:rPr>
          <w:b w:val="0"/>
          <w:color w:val="000000" w:themeColor="text1"/>
          <w:sz w:val="24"/>
          <w:szCs w:val="24"/>
        </w:rPr>
        <w:t>-3894.</w:t>
      </w:r>
    </w:p>
    <w:sectPr w:rsidR="00191FA8" w:rsidRPr="008A102D" w:rsidSect="00BD2C3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D81"/>
    <w:multiLevelType w:val="hybridMultilevel"/>
    <w:tmpl w:val="2FD6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2ACD"/>
    <w:multiLevelType w:val="hybridMultilevel"/>
    <w:tmpl w:val="6042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4778E"/>
    <w:multiLevelType w:val="hybridMultilevel"/>
    <w:tmpl w:val="7E62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CB7"/>
    <w:multiLevelType w:val="hybridMultilevel"/>
    <w:tmpl w:val="431A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200DB"/>
    <w:rsid w:val="00063966"/>
    <w:rsid w:val="00086081"/>
    <w:rsid w:val="00101A1C"/>
    <w:rsid w:val="00103657"/>
    <w:rsid w:val="00106375"/>
    <w:rsid w:val="00116478"/>
    <w:rsid w:val="00130241"/>
    <w:rsid w:val="00191FA8"/>
    <w:rsid w:val="001E61C2"/>
    <w:rsid w:val="001F0493"/>
    <w:rsid w:val="001F482E"/>
    <w:rsid w:val="002174C3"/>
    <w:rsid w:val="002264EE"/>
    <w:rsid w:val="00232F32"/>
    <w:rsid w:val="0023307C"/>
    <w:rsid w:val="00267107"/>
    <w:rsid w:val="0031361E"/>
    <w:rsid w:val="00391C38"/>
    <w:rsid w:val="003B76D6"/>
    <w:rsid w:val="00406786"/>
    <w:rsid w:val="00432C8A"/>
    <w:rsid w:val="004A1780"/>
    <w:rsid w:val="004A26A3"/>
    <w:rsid w:val="004F0EDF"/>
    <w:rsid w:val="005072C6"/>
    <w:rsid w:val="00522BF1"/>
    <w:rsid w:val="00572B7E"/>
    <w:rsid w:val="00590166"/>
    <w:rsid w:val="005D022B"/>
    <w:rsid w:val="005E5BE9"/>
    <w:rsid w:val="0069427D"/>
    <w:rsid w:val="006E5C5C"/>
    <w:rsid w:val="006F7A19"/>
    <w:rsid w:val="007213E1"/>
    <w:rsid w:val="00775389"/>
    <w:rsid w:val="00797838"/>
    <w:rsid w:val="007C36D8"/>
    <w:rsid w:val="007F2744"/>
    <w:rsid w:val="008931BE"/>
    <w:rsid w:val="008A102D"/>
    <w:rsid w:val="008B1039"/>
    <w:rsid w:val="008C67E3"/>
    <w:rsid w:val="0090680F"/>
    <w:rsid w:val="00921D45"/>
    <w:rsid w:val="009A66DB"/>
    <w:rsid w:val="009B2F80"/>
    <w:rsid w:val="009B3300"/>
    <w:rsid w:val="009F3380"/>
    <w:rsid w:val="00A02163"/>
    <w:rsid w:val="00A1394D"/>
    <w:rsid w:val="00A314FE"/>
    <w:rsid w:val="00AA2F4A"/>
    <w:rsid w:val="00AA3D4E"/>
    <w:rsid w:val="00BD2C3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640EA"/>
    <w:rsid w:val="00F829E1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D2C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D2C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D2C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2C3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D2C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D2C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2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D2C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D2C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A17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780"/>
    <w:rPr>
      <w:rFonts w:ascii="Tahoma" w:eastAsia="Times New Roman" w:hAnsi="Tahoma" w:cs="Tahoma"/>
      <w:sz w:val="16"/>
      <w:szCs w:val="16"/>
    </w:rPr>
  </w:style>
  <w:style w:type="character" w:customStyle="1" w:styleId="citation">
    <w:name w:val="citation"/>
    <w:basedOn w:val="a0"/>
    <w:rsid w:val="00191FA8"/>
  </w:style>
  <w:style w:type="character" w:customStyle="1" w:styleId="ng-star-inserted">
    <w:name w:val="ng-star-inserted"/>
    <w:basedOn w:val="a0"/>
    <w:rsid w:val="00AA3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zalia.lutova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D4C806-46E6-47AD-9507-337F1616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</dc:creator>
  <cp:lastModifiedBy>Tatiana Dubinina</cp:lastModifiedBy>
  <cp:revision>2</cp:revision>
  <cp:lastPrinted>2024-01-17T10:31:00Z</cp:lastPrinted>
  <dcterms:created xsi:type="dcterms:W3CDTF">2024-03-08T00:18:00Z</dcterms:created>
  <dcterms:modified xsi:type="dcterms:W3CDTF">2024-03-08T00:18:00Z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