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pv176wsotlxb" w:colFirst="0" w:colLast="0"/>
      <w:bookmarkEnd w:id="0"/>
      <w:r w:rsidRPr="003D412B">
        <w:rPr>
          <w:rFonts w:ascii="Times New Roman" w:hAnsi="Times New Roman" w:cs="Times New Roman"/>
          <w:b/>
          <w:sz w:val="24"/>
          <w:szCs w:val="24"/>
        </w:rPr>
        <w:t xml:space="preserve">Апробация фрагментного базиса в </w:t>
      </w:r>
      <w:proofErr w:type="spellStart"/>
      <w:r w:rsidRPr="003D412B">
        <w:rPr>
          <w:rFonts w:ascii="Times New Roman" w:hAnsi="Times New Roman" w:cs="Times New Roman"/>
          <w:b/>
          <w:sz w:val="24"/>
          <w:szCs w:val="24"/>
        </w:rPr>
        <w:t>характеризации</w:t>
      </w:r>
      <w:proofErr w:type="spellEnd"/>
      <w:r w:rsidRPr="003D412B">
        <w:rPr>
          <w:rFonts w:ascii="Times New Roman" w:hAnsi="Times New Roman" w:cs="Times New Roman"/>
          <w:b/>
          <w:sz w:val="24"/>
          <w:szCs w:val="24"/>
        </w:rPr>
        <w:t xml:space="preserve"> сайтов связывания белковых структур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D412B">
        <w:rPr>
          <w:rFonts w:ascii="Times New Roman" w:hAnsi="Times New Roman" w:cs="Times New Roman"/>
          <w:b/>
          <w:i/>
          <w:sz w:val="24"/>
          <w:szCs w:val="24"/>
        </w:rPr>
        <w:t>Моргунов</w:t>
      </w:r>
      <w:proofErr w:type="gramEnd"/>
      <w:r w:rsidRPr="003D412B">
        <w:rPr>
          <w:rFonts w:ascii="Times New Roman" w:hAnsi="Times New Roman" w:cs="Times New Roman"/>
          <w:b/>
          <w:i/>
          <w:sz w:val="24"/>
          <w:szCs w:val="24"/>
        </w:rPr>
        <w:t xml:space="preserve"> И.А., Шульга Д.А., </w:t>
      </w:r>
      <w:proofErr w:type="spellStart"/>
      <w:r w:rsidRPr="003D412B">
        <w:rPr>
          <w:rFonts w:ascii="Times New Roman" w:hAnsi="Times New Roman" w:cs="Times New Roman"/>
          <w:b/>
          <w:i/>
          <w:sz w:val="24"/>
          <w:szCs w:val="24"/>
        </w:rPr>
        <w:t>Палюлин</w:t>
      </w:r>
      <w:proofErr w:type="spellEnd"/>
      <w:r w:rsidRPr="003D412B">
        <w:rPr>
          <w:rFonts w:ascii="Times New Roman" w:hAnsi="Times New Roman" w:cs="Times New Roman"/>
          <w:b/>
          <w:i/>
          <w:sz w:val="24"/>
          <w:szCs w:val="24"/>
        </w:rPr>
        <w:t xml:space="preserve"> В.А.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12B">
        <w:rPr>
          <w:rFonts w:ascii="Times New Roman" w:hAnsi="Times New Roman" w:cs="Times New Roman"/>
          <w:i/>
          <w:sz w:val="24"/>
          <w:szCs w:val="24"/>
        </w:rPr>
        <w:t>Аспирант, 1 год обучения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12B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12B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12B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3D412B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D412B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>
        <w:r w:rsidRPr="003D412B">
          <w:rPr>
            <w:rStyle w:val="a5"/>
            <w:rFonts w:ascii="Times New Roman" w:hAnsi="Times New Roman" w:cs="Times New Roman"/>
            <w:i/>
            <w:sz w:val="24"/>
            <w:szCs w:val="24"/>
          </w:rPr>
          <w:t>morgunov-igor1999@mail.ru</w:t>
        </w:r>
      </w:hyperlink>
    </w:p>
    <w:p w:rsidR="008B4277" w:rsidRPr="003D412B" w:rsidRDefault="003D412B" w:rsidP="003D412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D412B">
        <w:rPr>
          <w:rFonts w:ascii="Times New Roman" w:hAnsi="Times New Roman" w:cs="Times New Roman"/>
          <w:sz w:val="24"/>
          <w:szCs w:val="24"/>
        </w:rPr>
        <w:t xml:space="preserve">В последнее время активно развиваются методы создания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фармакофорных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моделей на основе знаний о структуре активного сайта мишени (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Structure-based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pharmacophore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D412B">
        <w:rPr>
          <w:rFonts w:ascii="Times New Roman" w:hAnsi="Times New Roman" w:cs="Times New Roman"/>
          <w:sz w:val="24"/>
          <w:szCs w:val="24"/>
        </w:rPr>
        <w:t xml:space="preserve">Существуют </w:t>
      </w:r>
      <w:r w:rsidRPr="003D412B">
        <w:rPr>
          <w:rFonts w:ascii="Times New Roman" w:hAnsi="Times New Roman" w:cs="Times New Roman"/>
          <w:sz w:val="24"/>
          <w:szCs w:val="24"/>
        </w:rPr>
        <w:t xml:space="preserve">разные подходы для поиска признаков таких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фармакофорных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моделей.[1] Последние работы в этом направлении все чаще используют методы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докинга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библиотек различных фрагментов в активный сайт мишени с последующим обобщением в признак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фармакофора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тех мест, в кото</w:t>
      </w:r>
      <w:r w:rsidRPr="003D412B">
        <w:rPr>
          <w:rFonts w:ascii="Times New Roman" w:hAnsi="Times New Roman" w:cs="Times New Roman"/>
          <w:sz w:val="24"/>
          <w:szCs w:val="24"/>
        </w:rPr>
        <w:t xml:space="preserve">рых фрагменты связывались наиболее часто/успешно.[2] Именно на этой стадии возникает ряд концептуальных вопросов: 1) Количество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докируемых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фрагментов;</w:t>
      </w:r>
      <w:proofErr w:type="gramEnd"/>
      <w:r w:rsidRPr="003D412B">
        <w:rPr>
          <w:rFonts w:ascii="Times New Roman" w:hAnsi="Times New Roman" w:cs="Times New Roman"/>
          <w:sz w:val="24"/>
          <w:szCs w:val="24"/>
        </w:rPr>
        <w:t xml:space="preserve"> 2) Размер этих фрагментов и их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хемотип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>; 3) Выбор конечного набора признаков из множества сгенерированных.</w:t>
      </w:r>
      <w:r w:rsidRPr="003D412B">
        <w:rPr>
          <w:rFonts w:ascii="Times New Roman" w:hAnsi="Times New Roman" w:cs="Times New Roman"/>
          <w:sz w:val="24"/>
          <w:szCs w:val="24"/>
        </w:rPr>
        <w:t xml:space="preserve"> Для того чтобы сделать построение SBP более фундаментальным инструментом, мы вводим термин универсального фрагментного базиса - постоянного набора малых органических молекул, каждая из которых отвечает за свой определенный вид взаимодействий в сайте связы</w:t>
      </w:r>
      <w:r w:rsidRPr="003D412B">
        <w:rPr>
          <w:rFonts w:ascii="Times New Roman" w:hAnsi="Times New Roman" w:cs="Times New Roman"/>
          <w:sz w:val="24"/>
          <w:szCs w:val="24"/>
        </w:rPr>
        <w:t xml:space="preserve">вания, тем самым позволяя использовать базис для анализа потенциально любого активного сайта любого белка. А также проводим его апробацию на примере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трех хорошо изученных мишеней, сопоставляя полученные данные с уже </w:t>
      </w:r>
      <w:proofErr w:type="gramStart"/>
      <w:r w:rsidRPr="003D412B"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 w:rsidRPr="003D412B">
        <w:rPr>
          <w:rFonts w:ascii="Times New Roman" w:hAnsi="Times New Roman" w:cs="Times New Roman"/>
          <w:sz w:val="24"/>
          <w:szCs w:val="24"/>
        </w:rPr>
        <w:t xml:space="preserve"> в литературе и</w:t>
      </w:r>
      <w:r w:rsidRPr="003D412B">
        <w:rPr>
          <w:rFonts w:ascii="Times New Roman" w:hAnsi="Times New Roman" w:cs="Times New Roman"/>
          <w:sz w:val="24"/>
          <w:szCs w:val="24"/>
        </w:rPr>
        <w:t xml:space="preserve"> дополняя их.</w:t>
      </w: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1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17537" cy="2638343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537" cy="2638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4277" w:rsidRDefault="003D412B" w:rsidP="003D4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412B">
        <w:rPr>
          <w:rFonts w:ascii="Times New Roman" w:hAnsi="Times New Roman" w:cs="Times New Roman"/>
          <w:sz w:val="24"/>
          <w:szCs w:val="24"/>
        </w:rPr>
        <w:t xml:space="preserve">Рис. 1. Диаграмма распределения аминокислот по видам взаимодействия с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лигандами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в сайтах связывания трех исследуемых мишеней</w:t>
      </w:r>
    </w:p>
    <w:p w:rsidR="003D412B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4277" w:rsidRPr="003D412B" w:rsidRDefault="003D412B" w:rsidP="003D41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12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B4277" w:rsidRPr="003D412B" w:rsidRDefault="003D412B" w:rsidP="003D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12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Sanders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, M. P. A.,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McGuire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, R. (2012).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protein’s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structure-based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pharmacophore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Commun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>., 3(1), 28–38.</w:t>
      </w:r>
    </w:p>
    <w:p w:rsidR="008B4277" w:rsidRPr="003D412B" w:rsidRDefault="003D412B" w:rsidP="003D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12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Bissaro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Sturlese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>, M., &amp;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Moro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, S. (2020).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molec</w:t>
      </w:r>
      <w:r w:rsidRPr="003D412B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simulations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in</w:t>
      </w:r>
      <w:proofErr w:type="spellEnd"/>
    </w:p>
    <w:p w:rsidR="008B4277" w:rsidRPr="003D412B" w:rsidRDefault="003D412B" w:rsidP="003D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412B">
        <w:rPr>
          <w:rFonts w:ascii="Times New Roman" w:hAnsi="Times New Roman" w:cs="Times New Roman"/>
          <w:sz w:val="24"/>
          <w:szCs w:val="24"/>
        </w:rPr>
        <w:t>fragment-based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(FBDD):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12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3D412B">
        <w:rPr>
          <w:rFonts w:ascii="Times New Roman" w:hAnsi="Times New Roman" w:cs="Times New Roman"/>
          <w:sz w:val="24"/>
          <w:szCs w:val="24"/>
        </w:rPr>
        <w:t>.</w:t>
      </w:r>
    </w:p>
    <w:p w:rsidR="008B4277" w:rsidRPr="003D412B" w:rsidRDefault="008B4277" w:rsidP="003D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277" w:rsidRPr="003D412B" w:rsidRDefault="008B4277" w:rsidP="003D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4277" w:rsidRPr="003D412B" w:rsidSect="008B4277">
      <w:pgSz w:w="11906" w:h="16838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8B4277"/>
    <w:rsid w:val="003D412B"/>
    <w:rsid w:val="008B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B42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B42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B42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B42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B427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B42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4277"/>
  </w:style>
  <w:style w:type="table" w:customStyle="1" w:styleId="TableNormal">
    <w:name w:val="Table Normal"/>
    <w:rsid w:val="008B42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B427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B4277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D41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orgunov-igor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4356C-59B7-4182-B3F4-DDC605B8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2024-03-10T01:15:00Z</dcterms:created>
  <dcterms:modified xsi:type="dcterms:W3CDTF">2024-03-10T01:15:00Z</dcterms:modified>
</cp:coreProperties>
</file>