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1F" w:rsidRPr="00A8501F" w:rsidRDefault="00A8501F" w:rsidP="00307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9052959"/>
      <w:r w:rsidRPr="00A8501F">
        <w:rPr>
          <w:rFonts w:ascii="Times New Roman" w:hAnsi="Times New Roman"/>
          <w:b/>
          <w:bCs/>
          <w:sz w:val="24"/>
          <w:szCs w:val="24"/>
        </w:rPr>
        <w:t xml:space="preserve">Водорастворимые </w:t>
      </w:r>
      <w:proofErr w:type="spellStart"/>
      <w:r w:rsidRPr="00A8501F">
        <w:rPr>
          <w:rFonts w:ascii="Times New Roman" w:hAnsi="Times New Roman"/>
          <w:b/>
          <w:bCs/>
          <w:sz w:val="24"/>
          <w:szCs w:val="24"/>
        </w:rPr>
        <w:t>пиридо</w:t>
      </w:r>
      <w:proofErr w:type="spellEnd"/>
      <w:r w:rsidRPr="00A8501F">
        <w:rPr>
          <w:rFonts w:ascii="Times New Roman" w:hAnsi="Times New Roman"/>
          <w:b/>
          <w:bCs/>
          <w:sz w:val="24"/>
          <w:szCs w:val="24"/>
        </w:rPr>
        <w:t>[1,2-</w:t>
      </w:r>
      <w:r w:rsidRPr="00A8501F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A8501F">
        <w:rPr>
          <w:rFonts w:ascii="Times New Roman" w:hAnsi="Times New Roman"/>
          <w:b/>
          <w:bCs/>
          <w:sz w:val="24"/>
          <w:szCs w:val="24"/>
        </w:rPr>
        <w:t>]</w:t>
      </w:r>
      <w:proofErr w:type="spellStart"/>
      <w:r w:rsidRPr="00A8501F">
        <w:rPr>
          <w:rFonts w:ascii="Times New Roman" w:hAnsi="Times New Roman"/>
          <w:b/>
          <w:bCs/>
          <w:sz w:val="24"/>
          <w:szCs w:val="24"/>
        </w:rPr>
        <w:t>бензимидазол-аннелированные</w:t>
      </w:r>
      <w:proofErr w:type="spellEnd"/>
      <w:r w:rsidRPr="00A8501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proofErr w:type="spellStart"/>
      <w:r w:rsidRPr="00A8501F">
        <w:rPr>
          <w:rFonts w:ascii="Times New Roman" w:hAnsi="Times New Roman"/>
          <w:b/>
          <w:bCs/>
          <w:sz w:val="24"/>
          <w:szCs w:val="24"/>
        </w:rPr>
        <w:t>порфиразины</w:t>
      </w:r>
      <w:proofErr w:type="spellEnd"/>
      <w:r w:rsidRPr="00A8501F">
        <w:rPr>
          <w:rFonts w:ascii="Times New Roman" w:hAnsi="Times New Roman"/>
          <w:b/>
          <w:bCs/>
          <w:sz w:val="24"/>
          <w:szCs w:val="24"/>
        </w:rPr>
        <w:t xml:space="preserve"> цинка: синтез, фотохимические свойства и фотодинамическая активность</w:t>
      </w:r>
    </w:p>
    <w:p w:rsidR="007559EE" w:rsidRPr="00992049" w:rsidRDefault="007E47E5" w:rsidP="00307BE4">
      <w:pPr>
        <w:spacing w:after="0" w:line="240" w:lineRule="auto"/>
        <w:jc w:val="center"/>
      </w:pPr>
      <w:r w:rsidRPr="008C3BE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Белоусов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М.С.</w:t>
      </w:r>
    </w:p>
    <w:p w:rsidR="007559EE" w:rsidRDefault="00FB4A59" w:rsidP="00307BE4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Аспирант 1 года обучения</w:t>
      </w:r>
    </w:p>
    <w:p w:rsidR="007559EE" w:rsidRDefault="007E47E5" w:rsidP="00307BE4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Московский государственный университет имени М.В. Ломоносова, химический</w:t>
      </w:r>
      <w:r>
        <w:rPr>
          <w:rFonts w:ascii="Times New Roman" w:eastAsia="Times New Roman" w:hAnsi="Times New Roman"/>
          <w:i/>
          <w:sz w:val="24"/>
          <w:szCs w:val="20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факультет, Москва, Россия</w:t>
      </w:r>
    </w:p>
    <w:p w:rsidR="007559EE" w:rsidRPr="001127BB" w:rsidRDefault="007E47E5" w:rsidP="00307BE4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E</w:t>
      </w:r>
      <w:r w:rsidRPr="001127BB">
        <w:rPr>
          <w:rFonts w:ascii="Times New Roman" w:eastAsia="Times New Roman" w:hAnsi="Times New Roman"/>
          <w:i/>
          <w:sz w:val="24"/>
          <w:szCs w:val="20"/>
          <w:lang w:eastAsia="ru-RU"/>
        </w:rPr>
        <w:t>-</w:t>
      </w:r>
      <w:r w:rsidRPr="00145B2D"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mail</w:t>
      </w:r>
      <w:r w:rsidRPr="001127BB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: </w:t>
      </w:r>
      <w:proofErr w:type="spellStart"/>
      <w:r w:rsidRPr="00145B2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mi</w:t>
      </w:r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kbelousov</w:t>
      </w:r>
      <w:proofErr w:type="spellEnd"/>
      <w:r w:rsidR="00FB4A59" w:rsidRPr="001127BB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ru-RU"/>
        </w:rPr>
        <w:t>99@</w:t>
      </w:r>
      <w:proofErr w:type="spellStart"/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gmail</w:t>
      </w:r>
      <w:proofErr w:type="spellEnd"/>
      <w:r w:rsidR="00FB4A59" w:rsidRPr="001127BB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ru-RU"/>
        </w:rPr>
        <w:t>.</w:t>
      </w:r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com</w:t>
      </w:r>
    </w:p>
    <w:p w:rsidR="00FB4A59" w:rsidRPr="00FB4A59" w:rsidRDefault="00FB4A59" w:rsidP="00307BE4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Пиридо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[1,2-a]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бензимидазол-аннелированные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порфиразины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представляют собой новый класс </w:t>
      </w:r>
      <w:proofErr w:type="spellStart"/>
      <w:r w:rsidR="00B302F0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порфиразинов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, </w:t>
      </w:r>
      <w:proofErr w:type="gram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содержащих</w:t>
      </w:r>
      <w:proofErr w:type="gram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своей структуре молекулы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пиридо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[1,2-a]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бензимидазола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аннелированные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порфиразиновому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кольцу. Данные </w:t>
      </w:r>
      <w:r w:rsidR="00B302F0">
        <w:rPr>
          <w:rFonts w:ascii="Times New Roman" w:eastAsia="Times New Roman" w:hAnsi="Times New Roman"/>
          <w:iCs/>
          <w:sz w:val="24"/>
          <w:szCs w:val="20"/>
          <w:lang w:eastAsia="ru-RU"/>
        </w:rPr>
        <w:t>соединения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благодаря сдвигу максимума поглощения в ближнюю ИК-область, являются перспективными фотосенсибилизаторами для фотодинамической терапии (ФДТ).</w:t>
      </w:r>
    </w:p>
    <w:p w:rsidR="00FB4A59" w:rsidRPr="00FB4A59" w:rsidRDefault="00FB4A59" w:rsidP="00307BE4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примере полученного ранее незамещенного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пиридо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[1,2-a]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бензимидазол-аннелированн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ого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цинка </w:t>
      </w:r>
      <w:r w:rsidRPr="00FB4A5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1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п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оказана возможность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кватернизации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для данного комплекса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посредством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реакций с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диметилсульфатом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бензилхлоридом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. В результате были получены водорастворимые фотосенсибилизаторы </w:t>
      </w:r>
      <w:r w:rsidRPr="00FB4A5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2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</w:t>
      </w:r>
      <w:r w:rsidRPr="00FB4A5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3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:rsidR="007559EE" w:rsidRDefault="00FC4EAA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9650" cy="3686109"/>
            <wp:effectExtent l="19050" t="0" r="0" b="0"/>
            <wp:docPr id="2701345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57" cy="36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49" w:rsidRPr="00992049" w:rsidRDefault="00B302F0" w:rsidP="00307BE4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И</w:t>
      </w:r>
      <w:r w:rsidR="00992049"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сследовано агрегационное поведение комплексов </w:t>
      </w:r>
      <w:r w:rsidR="00992049" w:rsidRPr="0099204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2,3</w:t>
      </w:r>
      <w:r w:rsidR="00992049"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водном растворе, а также зарегистрированы спектры триплетного поглощения в воде. Дополнительно определены квантовые выходы генерации синглетного кислорода и флуоресценции в ДМСО.</w:t>
      </w:r>
    </w:p>
    <w:p w:rsidR="00992049" w:rsidRDefault="00992049" w:rsidP="00307BE4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Полученные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п</w:t>
      </w:r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иридо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[1,2-a]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бензимидазол-аннелированные</w:t>
      </w:r>
      <w:proofErr w:type="spellEnd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FB4A59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порфиразины</w:t>
      </w:r>
      <w:proofErr w:type="spellEnd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99204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2,3</w:t>
      </w:r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охарактеризованы методами масс-спектрометрии MALDI TOF, ИК-Фурье, </w:t>
      </w:r>
      <w:r w:rsidRPr="0097099F">
        <w:rPr>
          <w:rFonts w:ascii="Times New Roman" w:eastAsia="Times New Roman" w:hAnsi="Times New Roman"/>
          <w:iCs/>
          <w:sz w:val="24"/>
          <w:szCs w:val="20"/>
          <w:vertAlign w:val="superscript"/>
          <w:lang w:eastAsia="ru-RU"/>
        </w:rPr>
        <w:t>1</w:t>
      </w:r>
      <w:r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>H ЯМР спектроскопии.</w:t>
      </w:r>
      <w:r w:rsidR="00D12982"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UV/</w:t>
      </w:r>
      <w:proofErr w:type="spellStart"/>
      <w:r w:rsidR="00D12982"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>Vis</w:t>
      </w:r>
      <w:proofErr w:type="spellEnd"/>
      <w:r w:rsidR="00D12982"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спектрах наблюдается</w:t>
      </w:r>
      <w:r w:rsidR="001127BB"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батохромное смещение мак</w:t>
      </w:r>
      <w:r w:rsidR="001127BB"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>симума поглощения в ближнюю ИК-область, вплоть до</w:t>
      </w:r>
      <w:r w:rsidR="00D12982"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746</w:t>
      </w:r>
      <w:r w:rsidR="00D12982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нм, находящееся в диапазоне высокой прозрачности биологических тканей.</w:t>
      </w:r>
    </w:p>
    <w:p w:rsidR="00992049" w:rsidRPr="001127BB" w:rsidRDefault="00992049" w:rsidP="00307BE4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Для определения эффективности фотодинамического действия </w:t>
      </w:r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для </w:t>
      </w:r>
      <w:proofErr w:type="spellStart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>кватернизованн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комплексов </w:t>
      </w:r>
      <w:r w:rsidRPr="0099204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2,3</w:t>
      </w:r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измерены значения световой и </w:t>
      </w:r>
      <w:proofErr w:type="spellStart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>темновой</w:t>
      </w:r>
      <w:proofErr w:type="spellEnd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>цитотоксичности</w:t>
      </w:r>
      <w:proofErr w:type="spellEnd"/>
      <w:r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на линиях клеток HeLa, HCT116, MCF7, WI38, A549 и A431.</w:t>
      </w:r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При </w:t>
      </w:r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низкой </w:t>
      </w:r>
      <w:proofErr w:type="spellStart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>темновой</w:t>
      </w:r>
      <w:proofErr w:type="spellEnd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>цитотоксичности</w:t>
      </w:r>
      <w:proofErr w:type="spellEnd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обнаружены высокие значения </w:t>
      </w:r>
      <w:proofErr w:type="spellStart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>фото</w:t>
      </w:r>
      <w:r w:rsidR="00FC4EAA">
        <w:rPr>
          <w:rFonts w:ascii="Times New Roman" w:eastAsia="Times New Roman" w:hAnsi="Times New Roman"/>
          <w:iCs/>
          <w:sz w:val="24"/>
          <w:szCs w:val="20"/>
          <w:lang w:eastAsia="ru-RU"/>
        </w:rPr>
        <w:t>ц</w:t>
      </w:r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>итотоксичности</w:t>
      </w:r>
      <w:proofErr w:type="spellEnd"/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вплоть до </w:t>
      </w:r>
      <w:r w:rsidR="00714A98" w:rsidRPr="00714A98">
        <w:rPr>
          <w:rFonts w:ascii="Times New Roman" w:eastAsia="Times New Roman" w:hAnsi="Times New Roman"/>
          <w:b/>
          <w:bCs/>
          <w:iCs/>
          <w:sz w:val="24"/>
          <w:szCs w:val="20"/>
          <w:lang w:val="en-US" w:eastAsia="ru-RU"/>
        </w:rPr>
        <w:t>IC</w:t>
      </w:r>
      <w:r w:rsidR="00714A98" w:rsidRPr="00714A98">
        <w:rPr>
          <w:rFonts w:ascii="Times New Roman" w:eastAsia="Times New Roman" w:hAnsi="Times New Roman"/>
          <w:b/>
          <w:bCs/>
          <w:iCs/>
          <w:sz w:val="24"/>
          <w:szCs w:val="20"/>
          <w:vertAlign w:val="subscript"/>
          <w:lang w:eastAsia="ru-RU"/>
        </w:rPr>
        <w:t>50</w:t>
      </w:r>
      <w:r w:rsidR="00714A98" w:rsidRPr="00714A98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=180 н</w:t>
      </w:r>
      <w:r w:rsidR="00714A98" w:rsidRPr="00714A98">
        <w:rPr>
          <w:rFonts w:ascii="Times New Roman" w:eastAsia="Times New Roman" w:hAnsi="Times New Roman"/>
          <w:b/>
          <w:bCs/>
          <w:iCs/>
          <w:sz w:val="24"/>
          <w:szCs w:val="20"/>
          <w:lang w:val="en-US" w:eastAsia="ru-RU"/>
        </w:rPr>
        <w:t>M</w:t>
      </w:r>
      <w:r w:rsidR="00714A98" w:rsidRPr="00714A98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="00046EB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1127BB"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Полученные характеристики </w:t>
      </w:r>
      <w:r w:rsid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оказались </w:t>
      </w:r>
      <w:r w:rsidR="001127BB"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лучше, чем у хлорина </w:t>
      </w:r>
      <w:r w:rsidR="001127BB" w:rsidRPr="001127BB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e</w:t>
      </w:r>
      <w:r w:rsidR="001127BB"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>6, активного компонента широко используемых препаратов для ФДТ.</w:t>
      </w:r>
    </w:p>
    <w:p w:rsidR="007559EE" w:rsidRDefault="007E47E5" w:rsidP="00307BE4">
      <w:pPr>
        <w:spacing w:after="0" w:line="240" w:lineRule="auto"/>
        <w:ind w:firstLine="397"/>
        <w:jc w:val="both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Работа выполнена при финансовой поддержке гра</w:t>
      </w:r>
      <w:r w:rsidRPr="00FB044C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нта </w:t>
      </w:r>
      <w:r w:rsidRPr="00FB044C">
        <w:rPr>
          <w:rFonts w:ascii="Times New Roman" w:hAnsi="Times New Roman"/>
          <w:i/>
          <w:sz w:val="24"/>
          <w:szCs w:val="24"/>
        </w:rPr>
        <w:t xml:space="preserve">РНФ № </w:t>
      </w:r>
      <w:r w:rsidR="00FB044C" w:rsidRPr="00FB044C">
        <w:rPr>
          <w:rFonts w:ascii="Times New Roman" w:hAnsi="Times New Roman"/>
          <w:i/>
          <w:sz w:val="24"/>
          <w:szCs w:val="24"/>
        </w:rPr>
        <w:t>23-73-10076</w:t>
      </w:r>
      <w:r w:rsidRPr="00FB044C">
        <w:rPr>
          <w:rFonts w:ascii="Times New Roman" w:hAnsi="Times New Roman"/>
          <w:i/>
          <w:sz w:val="24"/>
          <w:szCs w:val="24"/>
        </w:rPr>
        <w:t>.</w:t>
      </w:r>
    </w:p>
    <w:sectPr w:rsidR="007559EE" w:rsidSect="00DF6E52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9EE"/>
    <w:rsid w:val="00035E26"/>
    <w:rsid w:val="00046EB0"/>
    <w:rsid w:val="000A42A7"/>
    <w:rsid w:val="001127BB"/>
    <w:rsid w:val="00145B2D"/>
    <w:rsid w:val="00147275"/>
    <w:rsid w:val="0020648C"/>
    <w:rsid w:val="00307BE4"/>
    <w:rsid w:val="003B5DEA"/>
    <w:rsid w:val="003E06C9"/>
    <w:rsid w:val="004431C9"/>
    <w:rsid w:val="004C6685"/>
    <w:rsid w:val="005C0EDE"/>
    <w:rsid w:val="00685FE8"/>
    <w:rsid w:val="006E2B2E"/>
    <w:rsid w:val="006E4A0D"/>
    <w:rsid w:val="006F62FA"/>
    <w:rsid w:val="00714A98"/>
    <w:rsid w:val="00722C78"/>
    <w:rsid w:val="0072441D"/>
    <w:rsid w:val="00744526"/>
    <w:rsid w:val="007559EE"/>
    <w:rsid w:val="007C6A14"/>
    <w:rsid w:val="007E47E5"/>
    <w:rsid w:val="008C3BEA"/>
    <w:rsid w:val="009352E4"/>
    <w:rsid w:val="0097099F"/>
    <w:rsid w:val="00992049"/>
    <w:rsid w:val="00A8501F"/>
    <w:rsid w:val="00B302F0"/>
    <w:rsid w:val="00CF354D"/>
    <w:rsid w:val="00D02C53"/>
    <w:rsid w:val="00D12982"/>
    <w:rsid w:val="00D16789"/>
    <w:rsid w:val="00DC2AE2"/>
    <w:rsid w:val="00DF6E52"/>
    <w:rsid w:val="00E45E0D"/>
    <w:rsid w:val="00F5159A"/>
    <w:rsid w:val="00F54833"/>
    <w:rsid w:val="00F566F2"/>
    <w:rsid w:val="00FB044C"/>
    <w:rsid w:val="00FB4A59"/>
    <w:rsid w:val="00FC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26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8501F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44526"/>
    <w:rPr>
      <w:color w:val="0563C1"/>
      <w:u w:val="single"/>
    </w:rPr>
  </w:style>
  <w:style w:type="character" w:styleId="a3">
    <w:name w:val="Placeholder Text"/>
    <w:qFormat/>
    <w:rsid w:val="00744526"/>
    <w:rPr>
      <w:color w:val="808080"/>
    </w:rPr>
  </w:style>
  <w:style w:type="character" w:customStyle="1" w:styleId="a4">
    <w:name w:val="Текст выноски Знак"/>
    <w:qFormat/>
    <w:rsid w:val="00744526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6"/>
    <w:uiPriority w:val="10"/>
    <w:qFormat/>
    <w:rsid w:val="0074452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6">
    <w:name w:val="Body Text"/>
    <w:basedOn w:val="a"/>
    <w:rsid w:val="00744526"/>
    <w:pPr>
      <w:spacing w:after="140" w:line="276" w:lineRule="auto"/>
    </w:pPr>
  </w:style>
  <w:style w:type="paragraph" w:styleId="a7">
    <w:name w:val="List"/>
    <w:basedOn w:val="a6"/>
    <w:rsid w:val="00744526"/>
    <w:rPr>
      <w:rFonts w:cs="Lucida Sans"/>
    </w:rPr>
  </w:style>
  <w:style w:type="paragraph" w:styleId="a8">
    <w:name w:val="caption"/>
    <w:basedOn w:val="a"/>
    <w:qFormat/>
    <w:rsid w:val="007445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744526"/>
    <w:pPr>
      <w:suppressLineNumbers/>
    </w:pPr>
    <w:rPr>
      <w:rFonts w:cs="Lucida Sans"/>
    </w:rPr>
  </w:style>
  <w:style w:type="paragraph" w:styleId="aa">
    <w:name w:val="Balloon Text"/>
    <w:basedOn w:val="a"/>
    <w:qFormat/>
    <w:rsid w:val="007445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445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Белоусов</dc:creator>
  <cp:lastModifiedBy>Tatiana Dubinina</cp:lastModifiedBy>
  <cp:revision>2</cp:revision>
  <dcterms:created xsi:type="dcterms:W3CDTF">2024-03-05T22:54:00Z</dcterms:created>
  <dcterms:modified xsi:type="dcterms:W3CDTF">2024-03-05T22:54:00Z</dcterms:modified>
  <dc:language>ru-RU</dc:language>
</cp:coreProperties>
</file>