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33" w:rsidRDefault="002948EF" w:rsidP="00CB7C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Новые термочувствительные сополимеры </w:t>
      </w:r>
      <w:r>
        <w:rPr>
          <w:b/>
          <w:color w:val="000000"/>
          <w:lang w:val="en-US"/>
        </w:rPr>
        <w:t>N</w:t>
      </w:r>
      <w:r>
        <w:rPr>
          <w:b/>
          <w:color w:val="000000"/>
        </w:rPr>
        <w:t>-изопропилакриламида разветвлённого строения</w:t>
      </w:r>
    </w:p>
    <w:p w:rsidR="005D5A33" w:rsidRDefault="002948EF" w:rsidP="00CB7C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Ульянов И.В.</w:t>
      </w:r>
    </w:p>
    <w:p w:rsidR="005D5A33" w:rsidRDefault="002948EF" w:rsidP="00CB7C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:rsidR="005D5A33" w:rsidRDefault="002948EF" w:rsidP="00CB7C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</w:rPr>
        <w:t>Федеральный исследовательский центр проблем химической физики и медицинской химии РАН</w:t>
      </w:r>
      <w:r>
        <w:rPr>
          <w:i/>
          <w:color w:val="000000"/>
        </w:rPr>
        <w:t>, Черноголовка, Россия</w:t>
      </w:r>
    </w:p>
    <w:p w:rsidR="005D5A33" w:rsidRDefault="002948EF" w:rsidP="00CB7C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ulianoviv@icp.ac.ru</w:t>
      </w:r>
    </w:p>
    <w:p w:rsidR="00653245" w:rsidRDefault="00653245" w:rsidP="006532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>
        <w:rPr>
          <w:color w:val="000000"/>
        </w:rPr>
        <w:t xml:space="preserve">Известные своей </w:t>
      </w:r>
      <w:proofErr w:type="spellStart"/>
      <w:r>
        <w:rPr>
          <w:color w:val="000000"/>
        </w:rPr>
        <w:t>биосовместимостью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термочувствительностью</w:t>
      </w:r>
      <w:proofErr w:type="spellEnd"/>
      <w:r>
        <w:rPr>
          <w:color w:val="000000"/>
        </w:rPr>
        <w:t xml:space="preserve"> полимеры </w:t>
      </w:r>
      <w:r>
        <w:rPr>
          <w:color w:val="000000"/>
          <w:lang w:val="en-US"/>
        </w:rPr>
        <w:t>N</w:t>
      </w:r>
      <w:r>
        <w:rPr>
          <w:color w:val="000000"/>
        </w:rPr>
        <w:t>-</w:t>
      </w:r>
      <w:proofErr w:type="spellStart"/>
      <w:r>
        <w:rPr>
          <w:color w:val="000000"/>
        </w:rPr>
        <w:t>изопропилакриламида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NIPAAm</w:t>
      </w:r>
      <w:proofErr w:type="spellEnd"/>
      <w:r>
        <w:rPr>
          <w:color w:val="000000"/>
        </w:rPr>
        <w:t xml:space="preserve">) зарекомендовали себя в качестве многообещающих материалов для биомедицинских применений </w:t>
      </w:r>
      <w:r w:rsidRPr="00E173D9">
        <w:rPr>
          <w:color w:val="000000"/>
        </w:rPr>
        <w:t>[1]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Сополимеризация </w:t>
      </w:r>
      <w:proofErr w:type="spellStart"/>
      <w:r>
        <w:rPr>
          <w:color w:val="000000"/>
          <w:lang w:val="en-US"/>
        </w:rPr>
        <w:t>NIPAAm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дивиниловыми</w:t>
      </w:r>
      <w:proofErr w:type="spellEnd"/>
      <w:r>
        <w:rPr>
          <w:color w:val="000000"/>
        </w:rPr>
        <w:t xml:space="preserve"> мономерами позволяет изменить архитектуру макромолекул и их </w:t>
      </w:r>
      <w:proofErr w:type="spellStart"/>
      <w:r>
        <w:rPr>
          <w:color w:val="000000"/>
        </w:rPr>
        <w:t>амфифильность</w:t>
      </w:r>
      <w:proofErr w:type="spellEnd"/>
      <w:r>
        <w:rPr>
          <w:color w:val="000000"/>
        </w:rPr>
        <w:t xml:space="preserve">, осуществить тонкую настройку </w:t>
      </w:r>
      <w:proofErr w:type="spellStart"/>
      <w:r>
        <w:rPr>
          <w:color w:val="000000"/>
        </w:rPr>
        <w:t>термочувствительности</w:t>
      </w:r>
      <w:proofErr w:type="spellEnd"/>
      <w:r>
        <w:rPr>
          <w:color w:val="000000"/>
        </w:rPr>
        <w:t xml:space="preserve">, а также произвести </w:t>
      </w:r>
      <w:proofErr w:type="spellStart"/>
      <w:r>
        <w:rPr>
          <w:color w:val="000000"/>
        </w:rPr>
        <w:t>функционализацию</w:t>
      </w:r>
      <w:proofErr w:type="spellEnd"/>
      <w:r>
        <w:rPr>
          <w:color w:val="000000"/>
        </w:rPr>
        <w:t xml:space="preserve"> концевых цепей желаемыми группами, что, в совокупности, значительно расширяет возможности их применения.</w:t>
      </w:r>
    </w:p>
    <w:p w:rsidR="00653245" w:rsidRDefault="00653245" w:rsidP="006532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данной работы методом радикальной сополимеризации были получены нелинейные сополимеры </w:t>
      </w:r>
      <w:r>
        <w:rPr>
          <w:color w:val="000000"/>
          <w:lang w:val="en-US"/>
        </w:rPr>
        <w:t>N</w:t>
      </w:r>
      <w:r>
        <w:rPr>
          <w:color w:val="000000"/>
        </w:rPr>
        <w:t>-</w:t>
      </w:r>
      <w:proofErr w:type="spellStart"/>
      <w:r>
        <w:rPr>
          <w:color w:val="000000"/>
        </w:rPr>
        <w:t>изопропилакриламида</w:t>
      </w:r>
      <w:proofErr w:type="spellEnd"/>
      <w:r>
        <w:rPr>
          <w:color w:val="000000"/>
        </w:rPr>
        <w:t xml:space="preserve"> с диметакрилатом триэтиленгликоля (ДМТЭГ), в том числе, в присутствии агентов передачи цепи – 3-меркаптопропионовой кислоты и </w:t>
      </w:r>
      <w:proofErr w:type="spellStart"/>
      <w:r>
        <w:rPr>
          <w:color w:val="000000"/>
        </w:rPr>
        <w:t>цистеамина</w:t>
      </w:r>
      <w:proofErr w:type="spellEnd"/>
      <w:r>
        <w:rPr>
          <w:color w:val="000000"/>
        </w:rPr>
        <w:t>. Синтезированные сополимеры были исследованы комплексом физико-химических методов: И</w:t>
      </w:r>
      <w:proofErr w:type="gramStart"/>
      <w:r>
        <w:rPr>
          <w:color w:val="000000"/>
        </w:rPr>
        <w:t>К-</w:t>
      </w:r>
      <w:proofErr w:type="gramEnd"/>
      <w:r>
        <w:rPr>
          <w:color w:val="000000"/>
        </w:rPr>
        <w:t xml:space="preserve"> и </w:t>
      </w:r>
      <w:r w:rsidRPr="00E173D9">
        <w:rPr>
          <w:color w:val="000000"/>
          <w:vertAlign w:val="superscript"/>
        </w:rPr>
        <w:t>1</w:t>
      </w:r>
      <w:r>
        <w:rPr>
          <w:color w:val="000000"/>
          <w:lang w:val="en-US"/>
        </w:rPr>
        <w:t>H</w:t>
      </w:r>
      <w:r w:rsidRPr="00E173D9">
        <w:rPr>
          <w:color w:val="000000"/>
        </w:rPr>
        <w:t xml:space="preserve"> </w:t>
      </w:r>
      <w:r>
        <w:rPr>
          <w:color w:val="000000"/>
        </w:rPr>
        <w:t xml:space="preserve">ЯМР спектроскопии, ДСК, </w:t>
      </w:r>
      <w:proofErr w:type="spellStart"/>
      <w:r>
        <w:rPr>
          <w:color w:val="000000"/>
        </w:rPr>
        <w:t>эксклюзионной</w:t>
      </w:r>
      <w:proofErr w:type="spellEnd"/>
      <w:r>
        <w:rPr>
          <w:color w:val="000000"/>
        </w:rPr>
        <w:t xml:space="preserve"> хроматографии и динамического рассеяния света (ДРС). Определены их </w:t>
      </w:r>
      <w:proofErr w:type="spellStart"/>
      <w:r>
        <w:rPr>
          <w:color w:val="000000"/>
        </w:rPr>
        <w:t>мономерные</w:t>
      </w:r>
      <w:proofErr w:type="spellEnd"/>
      <w:r>
        <w:rPr>
          <w:color w:val="000000"/>
        </w:rPr>
        <w:t xml:space="preserve"> составы, абсолютные молекулярные массы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  <w:lang w:val="en-US"/>
        </w:rPr>
        <w:t>w</w:t>
      </w:r>
      <w:r>
        <w:rPr>
          <w:color w:val="000000"/>
        </w:rPr>
        <w:t xml:space="preserve">, полидисперсность и температуры стеклования. Полученные данные показывают, что с увеличением содержания ДМТЭГ в </w:t>
      </w:r>
      <w:proofErr w:type="spellStart"/>
      <w:r>
        <w:rPr>
          <w:color w:val="000000"/>
        </w:rPr>
        <w:t>мономерной</w:t>
      </w:r>
      <w:proofErr w:type="spellEnd"/>
      <w:r>
        <w:rPr>
          <w:color w:val="000000"/>
        </w:rPr>
        <w:t xml:space="preserve"> смеси закономерно возрастает содержание метакрилатных звеньев в сополимере, а также молекулярная масса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  <w:lang w:val="en-US"/>
        </w:rPr>
        <w:t>w</w:t>
      </w:r>
      <w:r>
        <w:rPr>
          <w:color w:val="000000"/>
        </w:rPr>
        <w:t xml:space="preserve"> и разветвлённость макромолекул. Из температурных зависимостей интенсивности рассеяния света водными растворами сополимеров были определены значения НКТР и установлена их зависимость от состава, молекулярной массы и концентрации сополимера. Показано, что в водных средах амфифильные сополимеры агрегируют с образованием устойчивых частиц с гидродинамическим радиусом около 50-100 нм;</w:t>
      </w:r>
      <w:r w:rsidDel="008A4B3E">
        <w:rPr>
          <w:color w:val="000000"/>
        </w:rPr>
        <w:t xml:space="preserve"> </w:t>
      </w:r>
      <w:r>
        <w:rPr>
          <w:color w:val="000000"/>
        </w:rPr>
        <w:t>определены критические концентрации агрегатообразования сополимеров в фосфатно-солевом буферном растворе.</w:t>
      </w:r>
    </w:p>
    <w:p w:rsidR="00653245" w:rsidRDefault="00653245" w:rsidP="006532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Цитотоксичность</w:t>
      </w:r>
      <w:proofErr w:type="spellEnd"/>
      <w:r>
        <w:rPr>
          <w:color w:val="000000"/>
        </w:rPr>
        <w:t xml:space="preserve"> сополимеров была оценена с помощью МТТ-теста (72 ч) на опухолевых (</w:t>
      </w:r>
      <w:proofErr w:type="spellStart"/>
      <w:r>
        <w:rPr>
          <w:color w:val="000000"/>
          <w:lang w:val="en-US"/>
        </w:rPr>
        <w:t>HeLa</w:t>
      </w:r>
      <w:proofErr w:type="spellEnd"/>
      <w:r w:rsidRPr="00C54D64">
        <w:rPr>
          <w:color w:val="000000"/>
        </w:rPr>
        <w:t xml:space="preserve">) </w:t>
      </w:r>
      <w:r>
        <w:rPr>
          <w:color w:val="000000"/>
        </w:rPr>
        <w:t>и неопухолевых (</w:t>
      </w:r>
      <w:r>
        <w:rPr>
          <w:color w:val="000000"/>
          <w:lang w:val="en-US"/>
        </w:rPr>
        <w:t>Vero</w:t>
      </w:r>
      <w:r w:rsidRPr="00C54D64">
        <w:rPr>
          <w:color w:val="000000"/>
        </w:rPr>
        <w:t xml:space="preserve">) </w:t>
      </w:r>
      <w:r>
        <w:rPr>
          <w:color w:val="000000"/>
        </w:rPr>
        <w:t xml:space="preserve">клетках. Полученные результаты свидетельствуют об их низкой </w:t>
      </w:r>
      <w:proofErr w:type="spellStart"/>
      <w:r>
        <w:rPr>
          <w:color w:val="000000"/>
        </w:rPr>
        <w:t>цитотоксичности</w:t>
      </w:r>
      <w:proofErr w:type="spellEnd"/>
      <w:r>
        <w:rPr>
          <w:color w:val="000000"/>
        </w:rPr>
        <w:t xml:space="preserve"> и, как следствие, перспективности в качестве носителей биологически активных соединений.</w:t>
      </w:r>
    </w:p>
    <w:p w:rsidR="00653245" w:rsidRDefault="00653245" w:rsidP="006532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Была проведена успешная инкапсуляция в полимерные наночастицы (ПНЧ) </w:t>
      </w:r>
      <w:proofErr w:type="gramStart"/>
      <w:r>
        <w:rPr>
          <w:color w:val="000000"/>
        </w:rPr>
        <w:t>гидрофобного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метилфеофорбида</w:t>
      </w:r>
      <w:proofErr w:type="spellEnd"/>
      <w:r>
        <w:rPr>
          <w:color w:val="000000"/>
        </w:rPr>
        <w:t xml:space="preserve"> </w:t>
      </w:r>
      <w:r w:rsidRPr="00E173D9">
        <w:rPr>
          <w:i/>
          <w:color w:val="000000"/>
        </w:rPr>
        <w:t>а</w:t>
      </w:r>
      <w:r>
        <w:rPr>
          <w:color w:val="000000"/>
        </w:rPr>
        <w:t xml:space="preserve"> (МФФ), перспективного фотосенсибилизатора для фотодинамической терапии. Оценена растворимость полученных композиций в водных растворах и стабильность ПНЧ-МФФ в зависимости от состава и молекулярной массы сополимера; определены размеры ПНЧ-МФФ при различных температурах. С помощью </w:t>
      </w:r>
      <w:proofErr w:type="gramStart"/>
      <w:r>
        <w:rPr>
          <w:color w:val="000000"/>
        </w:rPr>
        <w:t>ИК-спектроскопии</w:t>
      </w:r>
      <w:proofErr w:type="gramEnd"/>
      <w:r>
        <w:rPr>
          <w:color w:val="000000"/>
        </w:rPr>
        <w:t xml:space="preserve"> показана возможность локализации молекул МФФ как в гидрофобных, так и в гидрофильных областях макромолекул/ПНЧ, а также его </w:t>
      </w:r>
      <w:proofErr w:type="spellStart"/>
      <w:r>
        <w:rPr>
          <w:color w:val="000000"/>
        </w:rPr>
        <w:t>нековалентного</w:t>
      </w:r>
      <w:proofErr w:type="spellEnd"/>
      <w:r>
        <w:rPr>
          <w:color w:val="000000"/>
        </w:rPr>
        <w:t xml:space="preserve"> связывания с кислородсодержащими группами сополимеров.</w:t>
      </w:r>
    </w:p>
    <w:p w:rsidR="00653245" w:rsidRPr="00106C0C" w:rsidRDefault="00653245" w:rsidP="006532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в рамках государственного задания №124013000722-8. Автор выражает свою благодарность научному руководителю, Курмаз Светлане Викторовне, и всему коллективу </w:t>
      </w:r>
      <w:proofErr w:type="spellStart"/>
      <w:r>
        <w:rPr>
          <w:i/>
          <w:iCs/>
          <w:color w:val="000000"/>
        </w:rPr>
        <w:t>ОПиКМ</w:t>
      </w:r>
      <w:proofErr w:type="spellEnd"/>
      <w:r>
        <w:rPr>
          <w:i/>
          <w:iCs/>
          <w:color w:val="000000"/>
        </w:rPr>
        <w:t xml:space="preserve"> ФИЦ ПХФ и МХ РАН.</w:t>
      </w:r>
    </w:p>
    <w:p w:rsidR="00E173D9" w:rsidRDefault="00E173D9" w:rsidP="00CB7CC3">
      <w:pP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Литература</w:t>
      </w:r>
    </w:p>
    <w:p w:rsidR="00973318" w:rsidRPr="004B4644" w:rsidRDefault="00E173D9" w:rsidP="00CB7CC3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106C0C">
        <w:rPr>
          <w:color w:val="000000"/>
          <w:lang w:val="en-US"/>
        </w:rPr>
        <w:t>Xu</w:t>
      </w:r>
      <w:proofErr w:type="spellEnd"/>
      <w:r w:rsidR="00106C0C">
        <w:rPr>
          <w:color w:val="000000"/>
          <w:lang w:val="en-US"/>
        </w:rPr>
        <w:t xml:space="preserve"> X.</w:t>
      </w:r>
      <w:r>
        <w:rPr>
          <w:color w:val="000000"/>
          <w:lang w:val="en-US"/>
        </w:rPr>
        <w:t xml:space="preserve">, </w:t>
      </w:r>
      <w:r w:rsidR="00106C0C" w:rsidRPr="00106C0C">
        <w:rPr>
          <w:color w:val="000000"/>
          <w:lang w:val="en-US"/>
        </w:rPr>
        <w:t>Liu</w:t>
      </w:r>
      <w:r>
        <w:rPr>
          <w:color w:val="000000"/>
          <w:lang w:val="en-US"/>
        </w:rPr>
        <w:t xml:space="preserve"> Y.</w:t>
      </w:r>
      <w:r w:rsidR="00106C0C">
        <w:rPr>
          <w:color w:val="000000"/>
          <w:lang w:val="en-US"/>
        </w:rPr>
        <w:t>, Fu W. et al.</w:t>
      </w:r>
      <w:r>
        <w:rPr>
          <w:color w:val="000000"/>
          <w:lang w:val="en-US"/>
        </w:rPr>
        <w:t xml:space="preserve"> </w:t>
      </w:r>
      <w:proofErr w:type="gramStart"/>
      <w:r w:rsidR="00106C0C" w:rsidRPr="00E173D9">
        <w:rPr>
          <w:color w:val="000000"/>
          <w:lang w:val="en-US"/>
        </w:rPr>
        <w:t>Poly(</w:t>
      </w:r>
      <w:proofErr w:type="gramEnd"/>
      <w:r w:rsidR="00106C0C" w:rsidRPr="00E173D9">
        <w:rPr>
          <w:color w:val="000000"/>
          <w:lang w:val="en-US"/>
        </w:rPr>
        <w:t>N-</w:t>
      </w:r>
      <w:proofErr w:type="spellStart"/>
      <w:r w:rsidR="00106C0C" w:rsidRPr="00E173D9">
        <w:rPr>
          <w:color w:val="000000"/>
          <w:lang w:val="en-US"/>
        </w:rPr>
        <w:t>isopropylacrylamide</w:t>
      </w:r>
      <w:proofErr w:type="spellEnd"/>
      <w:r w:rsidR="00106C0C" w:rsidRPr="00E173D9">
        <w:rPr>
          <w:color w:val="000000"/>
          <w:lang w:val="en-US"/>
        </w:rPr>
        <w:t xml:space="preserve">)-Based </w:t>
      </w:r>
      <w:proofErr w:type="spellStart"/>
      <w:r w:rsidR="00106C0C" w:rsidRPr="00E173D9">
        <w:rPr>
          <w:color w:val="000000"/>
          <w:lang w:val="en-US"/>
        </w:rPr>
        <w:t>Thermoresponsive</w:t>
      </w:r>
      <w:proofErr w:type="spellEnd"/>
      <w:r w:rsidR="00106C0C" w:rsidRPr="00E173D9">
        <w:rPr>
          <w:color w:val="000000"/>
          <w:lang w:val="en-US"/>
        </w:rPr>
        <w:t xml:space="preserve"> Composite Hydrogels for Biomedical Applications</w:t>
      </w:r>
      <w:r>
        <w:rPr>
          <w:color w:val="000000"/>
          <w:lang w:val="en-US"/>
        </w:rPr>
        <w:t xml:space="preserve"> // </w:t>
      </w:r>
      <w:r w:rsidR="004B4644">
        <w:rPr>
          <w:color w:val="000000"/>
          <w:lang w:val="en-US"/>
        </w:rPr>
        <w:t>Polymers</w:t>
      </w:r>
      <w:r>
        <w:rPr>
          <w:color w:val="000000"/>
          <w:lang w:val="en-US"/>
        </w:rPr>
        <w:t xml:space="preserve">. </w:t>
      </w:r>
      <w:r w:rsidR="004B4644">
        <w:rPr>
          <w:color w:val="000000"/>
          <w:lang w:val="en-US"/>
        </w:rPr>
        <w:t>2020</w:t>
      </w:r>
      <w:r>
        <w:rPr>
          <w:color w:val="000000"/>
          <w:lang w:val="en-US"/>
        </w:rPr>
        <w:t xml:space="preserve">. Vol. </w:t>
      </w:r>
      <w:r w:rsidR="004B4644" w:rsidRPr="004B4644">
        <w:rPr>
          <w:color w:val="000000"/>
          <w:lang w:val="en-US"/>
        </w:rPr>
        <w:t>12(3)</w:t>
      </w:r>
      <w:r>
        <w:rPr>
          <w:color w:val="000000"/>
          <w:lang w:val="en-US"/>
        </w:rPr>
        <w:t xml:space="preserve">. </w:t>
      </w:r>
      <w:r w:rsidR="004B4644" w:rsidRPr="004B4644">
        <w:rPr>
          <w:color w:val="000000"/>
          <w:lang w:val="en-US"/>
        </w:rPr>
        <w:t>580</w:t>
      </w:r>
      <w:r>
        <w:rPr>
          <w:color w:val="000000"/>
          <w:lang w:val="en-US"/>
        </w:rPr>
        <w:t>.</w:t>
      </w:r>
    </w:p>
    <w:sectPr w:rsidR="00973318" w:rsidRPr="004B46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8DB"/>
    <w:multiLevelType w:val="hybridMultilevel"/>
    <w:tmpl w:val="4044F65A"/>
    <w:lvl w:ilvl="0" w:tplc="69AC708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E3FCB676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85EE785C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3C01946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DC1CA33A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8460DD34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B094D510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69427040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DF704DE0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95C1D27"/>
    <w:multiLevelType w:val="hybridMultilevel"/>
    <w:tmpl w:val="40B48400"/>
    <w:lvl w:ilvl="0" w:tplc="5F66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DCE356" w:tentative="1">
      <w:start w:val="1"/>
      <w:numFmt w:val="lowerLetter"/>
      <w:lvlText w:val="%2."/>
      <w:lvlJc w:val="left"/>
      <w:pPr>
        <w:ind w:left="1440" w:hanging="360"/>
      </w:pPr>
    </w:lvl>
    <w:lvl w:ilvl="2" w:tplc="19D20036" w:tentative="1">
      <w:start w:val="1"/>
      <w:numFmt w:val="lowerRoman"/>
      <w:lvlText w:val="%3."/>
      <w:lvlJc w:val="right"/>
      <w:pPr>
        <w:ind w:left="2160" w:hanging="180"/>
      </w:pPr>
    </w:lvl>
    <w:lvl w:ilvl="3" w:tplc="59A22FA4" w:tentative="1">
      <w:start w:val="1"/>
      <w:numFmt w:val="decimal"/>
      <w:lvlText w:val="%4."/>
      <w:lvlJc w:val="left"/>
      <w:pPr>
        <w:ind w:left="2880" w:hanging="360"/>
      </w:pPr>
    </w:lvl>
    <w:lvl w:ilvl="4" w:tplc="1540A8B2" w:tentative="1">
      <w:start w:val="1"/>
      <w:numFmt w:val="lowerLetter"/>
      <w:lvlText w:val="%5."/>
      <w:lvlJc w:val="left"/>
      <w:pPr>
        <w:ind w:left="3600" w:hanging="360"/>
      </w:pPr>
    </w:lvl>
    <w:lvl w:ilvl="5" w:tplc="5D52734C" w:tentative="1">
      <w:start w:val="1"/>
      <w:numFmt w:val="lowerRoman"/>
      <w:lvlText w:val="%6."/>
      <w:lvlJc w:val="right"/>
      <w:pPr>
        <w:ind w:left="4320" w:hanging="180"/>
      </w:pPr>
    </w:lvl>
    <w:lvl w:ilvl="6" w:tplc="C1B61DCC" w:tentative="1">
      <w:start w:val="1"/>
      <w:numFmt w:val="decimal"/>
      <w:lvlText w:val="%7."/>
      <w:lvlJc w:val="left"/>
      <w:pPr>
        <w:ind w:left="5040" w:hanging="360"/>
      </w:pPr>
    </w:lvl>
    <w:lvl w:ilvl="7" w:tplc="680AB41A" w:tentative="1">
      <w:start w:val="1"/>
      <w:numFmt w:val="lowerLetter"/>
      <w:lvlText w:val="%8."/>
      <w:lvlJc w:val="left"/>
      <w:pPr>
        <w:ind w:left="5760" w:hanging="360"/>
      </w:pPr>
    </w:lvl>
    <w:lvl w:ilvl="8" w:tplc="EB70CF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53500"/>
    <w:rsid w:val="00063966"/>
    <w:rsid w:val="00075446"/>
    <w:rsid w:val="00086081"/>
    <w:rsid w:val="00101A1C"/>
    <w:rsid w:val="00103657"/>
    <w:rsid w:val="00106375"/>
    <w:rsid w:val="00106C0C"/>
    <w:rsid w:val="00116478"/>
    <w:rsid w:val="00130241"/>
    <w:rsid w:val="00135039"/>
    <w:rsid w:val="001D5D43"/>
    <w:rsid w:val="001E61C2"/>
    <w:rsid w:val="001F0493"/>
    <w:rsid w:val="002264EE"/>
    <w:rsid w:val="0023307C"/>
    <w:rsid w:val="002948EF"/>
    <w:rsid w:val="002D6BAB"/>
    <w:rsid w:val="0031361E"/>
    <w:rsid w:val="00391C38"/>
    <w:rsid w:val="003B06C5"/>
    <w:rsid w:val="003B76D6"/>
    <w:rsid w:val="00424AC7"/>
    <w:rsid w:val="004308E2"/>
    <w:rsid w:val="00460175"/>
    <w:rsid w:val="00465E8F"/>
    <w:rsid w:val="004A26A3"/>
    <w:rsid w:val="004B4644"/>
    <w:rsid w:val="004F0EDF"/>
    <w:rsid w:val="00522BF1"/>
    <w:rsid w:val="00537193"/>
    <w:rsid w:val="00590166"/>
    <w:rsid w:val="005A6D82"/>
    <w:rsid w:val="005D022B"/>
    <w:rsid w:val="005D5A33"/>
    <w:rsid w:val="005E5BE9"/>
    <w:rsid w:val="00635C60"/>
    <w:rsid w:val="00653245"/>
    <w:rsid w:val="00693C8D"/>
    <w:rsid w:val="0069427D"/>
    <w:rsid w:val="006C3782"/>
    <w:rsid w:val="006C5C90"/>
    <w:rsid w:val="006E3A4A"/>
    <w:rsid w:val="006F7A19"/>
    <w:rsid w:val="007213E1"/>
    <w:rsid w:val="007521D8"/>
    <w:rsid w:val="00775389"/>
    <w:rsid w:val="00797838"/>
    <w:rsid w:val="007C2298"/>
    <w:rsid w:val="007C36D8"/>
    <w:rsid w:val="007D61C5"/>
    <w:rsid w:val="007F2744"/>
    <w:rsid w:val="008127AC"/>
    <w:rsid w:val="008353A3"/>
    <w:rsid w:val="008931BE"/>
    <w:rsid w:val="008A4B3E"/>
    <w:rsid w:val="008A6974"/>
    <w:rsid w:val="008B1487"/>
    <w:rsid w:val="008C67E3"/>
    <w:rsid w:val="00921D45"/>
    <w:rsid w:val="00952EBA"/>
    <w:rsid w:val="00973318"/>
    <w:rsid w:val="009938BA"/>
    <w:rsid w:val="009A66DB"/>
    <w:rsid w:val="009B2F80"/>
    <w:rsid w:val="009B3300"/>
    <w:rsid w:val="009F3380"/>
    <w:rsid w:val="00A02163"/>
    <w:rsid w:val="00A314FE"/>
    <w:rsid w:val="00B31378"/>
    <w:rsid w:val="00B752E9"/>
    <w:rsid w:val="00BD22BE"/>
    <w:rsid w:val="00BF36F8"/>
    <w:rsid w:val="00BF4622"/>
    <w:rsid w:val="00C54D64"/>
    <w:rsid w:val="00C71D93"/>
    <w:rsid w:val="00CB7CC3"/>
    <w:rsid w:val="00CD00B1"/>
    <w:rsid w:val="00D22306"/>
    <w:rsid w:val="00D42542"/>
    <w:rsid w:val="00D8121C"/>
    <w:rsid w:val="00DD3805"/>
    <w:rsid w:val="00E173D9"/>
    <w:rsid w:val="00E22189"/>
    <w:rsid w:val="00E55369"/>
    <w:rsid w:val="00E74069"/>
    <w:rsid w:val="00EB1F49"/>
    <w:rsid w:val="00EE2ABF"/>
    <w:rsid w:val="00F73211"/>
    <w:rsid w:val="00F8193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qFormat/>
    <w:pPr>
      <w:keepNext/>
      <w:keepLines/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8">
    <w:name w:val="heading 8"/>
    <w:link w:val="80"/>
    <w:uiPriority w:val="9"/>
    <w:qFormat/>
    <w:pPr>
      <w:keepNext/>
      <w:keepLines/>
      <w:spacing w:before="200"/>
      <w:outlineLvl w:val="7"/>
    </w:pPr>
    <w:rPr>
      <w:rFonts w:eastAsia="Times New Roman" w:cs="Times New Roman"/>
      <w:color w:val="404040"/>
    </w:rPr>
  </w:style>
  <w:style w:type="paragraph" w:styleId="9">
    <w:name w:val="heading 9"/>
    <w:link w:val="90"/>
    <w:uiPriority w:val="9"/>
    <w:qFormat/>
    <w:pPr>
      <w:keepNext/>
      <w:keepLines/>
      <w:spacing w:before="200"/>
      <w:outlineLvl w:val="8"/>
    </w:pPr>
    <w:rPr>
      <w:rFonts w:eastAsia="Times New Roman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Pr>
      <w:rFonts w:ascii="Calibri" w:eastAsia="Times New Roman" w:hAnsi="Calibri" w:cs="Times New Roman"/>
      <w:b/>
      <w:bCs/>
      <w:color w:val="4F81BD"/>
    </w:rPr>
  </w:style>
  <w:style w:type="character" w:customStyle="1" w:styleId="Heading4Char">
    <w:name w:val="Heading 4 Char"/>
    <w:uiPriority w:val="9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Heading5Char">
    <w:name w:val="Heading 5 Char"/>
    <w:uiPriority w:val="9"/>
    <w:rPr>
      <w:rFonts w:ascii="Calibri" w:eastAsia="Times New Roman" w:hAnsi="Calibri" w:cs="Times New Roman"/>
      <w:color w:val="243F60"/>
    </w:rPr>
  </w:style>
  <w:style w:type="character" w:customStyle="1" w:styleId="Heading6Char">
    <w:name w:val="Heading 6 Char"/>
    <w:uiPriority w:val="9"/>
    <w:rPr>
      <w:rFonts w:ascii="Calibri" w:eastAsia="Times New Roman" w:hAnsi="Calibri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Pr>
      <w:rFonts w:ascii="Calibri" w:eastAsia="Times New Roman" w:hAnsi="Calibri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Pr>
      <w:rFonts w:ascii="Calibri" w:eastAsia="Times New Roman" w:hAnsi="Calibri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F81BD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/>
    </w:rPr>
  </w:style>
  <w:style w:type="character" w:customStyle="1" w:styleId="21">
    <w:name w:val="Цитата 2 Знак"/>
    <w:link w:val="20"/>
    <w:uiPriority w:val="29"/>
    <w:rPr>
      <w:i/>
      <w:iCs/>
      <w:color w:val="000000"/>
    </w:rPr>
  </w:style>
  <w:style w:type="paragraph" w:styleId="a7">
    <w:name w:val="Intense Quote"/>
    <w:link w:val="a8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F81BD"/>
    </w:rPr>
  </w:style>
  <w:style w:type="character" w:styleId="a9">
    <w:name w:val="Subtle Reference"/>
    <w:uiPriority w:val="31"/>
    <w:qFormat/>
    <w:rPr>
      <w:smallCaps/>
      <w:color w:val="C0504D"/>
      <w:u w:val="single"/>
    </w:rPr>
  </w:style>
  <w:style w:type="character" w:styleId="aa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footnote text"/>
    <w:link w:val="ad"/>
    <w:uiPriority w:val="99"/>
    <w:semiHidden/>
    <w:unhideWhenUsed/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af2">
    <w:name w:val="Plain Text"/>
    <w:link w:val="af3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Pr>
      <w:rFonts w:ascii="Courier New" w:hAnsi="Courier New" w:cs="Courier New"/>
      <w:sz w:val="21"/>
      <w:szCs w:val="21"/>
    </w:rPr>
  </w:style>
  <w:style w:type="paragraph" w:styleId="af4">
    <w:name w:val="header"/>
    <w:link w:val="af5"/>
    <w:uiPriority w:val="99"/>
    <w:unhideWhenUsed/>
  </w:style>
  <w:style w:type="character" w:customStyle="1" w:styleId="af5">
    <w:name w:val="Верхний колонтитул Знак"/>
    <w:link w:val="af4"/>
    <w:uiPriority w:val="99"/>
  </w:style>
  <w:style w:type="paragraph" w:styleId="af6">
    <w:name w:val="footer"/>
    <w:link w:val="af7"/>
    <w:uiPriority w:val="99"/>
    <w:unhideWhenUsed/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caption"/>
    <w:uiPriority w:val="35"/>
    <w:qFormat/>
    <w:pPr>
      <w:spacing w:after="200"/>
    </w:pPr>
    <w:rPr>
      <w:i/>
      <w:iCs/>
      <w:color w:val="1F497D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c">
    <w:name w:val="Абзац списка Знак"/>
    <w:basedOn w:val="a0"/>
    <w:link w:val="afb"/>
    <w:uiPriority w:val="34"/>
  </w:style>
  <w:style w:type="character" w:styleId="afd">
    <w:name w:val="Placeholder Text"/>
    <w:uiPriority w:val="99"/>
    <w:semiHidden/>
    <w:rPr>
      <w:color w:val="808080"/>
    </w:rPr>
  </w:style>
  <w:style w:type="paragraph" w:styleId="afe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qFormat/>
    <w:pPr>
      <w:keepNext/>
      <w:keepLines/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8">
    <w:name w:val="heading 8"/>
    <w:link w:val="80"/>
    <w:uiPriority w:val="9"/>
    <w:qFormat/>
    <w:pPr>
      <w:keepNext/>
      <w:keepLines/>
      <w:spacing w:before="200"/>
      <w:outlineLvl w:val="7"/>
    </w:pPr>
    <w:rPr>
      <w:rFonts w:eastAsia="Times New Roman" w:cs="Times New Roman"/>
      <w:color w:val="404040"/>
    </w:rPr>
  </w:style>
  <w:style w:type="paragraph" w:styleId="9">
    <w:name w:val="heading 9"/>
    <w:link w:val="90"/>
    <w:uiPriority w:val="9"/>
    <w:qFormat/>
    <w:pPr>
      <w:keepNext/>
      <w:keepLines/>
      <w:spacing w:before="200"/>
      <w:outlineLvl w:val="8"/>
    </w:pPr>
    <w:rPr>
      <w:rFonts w:eastAsia="Times New Roman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Pr>
      <w:rFonts w:ascii="Calibri" w:eastAsia="Times New Roman" w:hAnsi="Calibri" w:cs="Times New Roman"/>
      <w:b/>
      <w:bCs/>
      <w:color w:val="4F81BD"/>
    </w:rPr>
  </w:style>
  <w:style w:type="character" w:customStyle="1" w:styleId="Heading4Char">
    <w:name w:val="Heading 4 Char"/>
    <w:uiPriority w:val="9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Heading5Char">
    <w:name w:val="Heading 5 Char"/>
    <w:uiPriority w:val="9"/>
    <w:rPr>
      <w:rFonts w:ascii="Calibri" w:eastAsia="Times New Roman" w:hAnsi="Calibri" w:cs="Times New Roman"/>
      <w:color w:val="243F60"/>
    </w:rPr>
  </w:style>
  <w:style w:type="character" w:customStyle="1" w:styleId="Heading6Char">
    <w:name w:val="Heading 6 Char"/>
    <w:uiPriority w:val="9"/>
    <w:rPr>
      <w:rFonts w:ascii="Calibri" w:eastAsia="Times New Roman" w:hAnsi="Calibri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Pr>
      <w:rFonts w:ascii="Calibri" w:eastAsia="Times New Roman" w:hAnsi="Calibri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Pr>
      <w:rFonts w:ascii="Calibri" w:eastAsia="Times New Roman" w:hAnsi="Calibri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F81BD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/>
    </w:rPr>
  </w:style>
  <w:style w:type="character" w:customStyle="1" w:styleId="21">
    <w:name w:val="Цитата 2 Знак"/>
    <w:link w:val="20"/>
    <w:uiPriority w:val="29"/>
    <w:rPr>
      <w:i/>
      <w:iCs/>
      <w:color w:val="000000"/>
    </w:rPr>
  </w:style>
  <w:style w:type="paragraph" w:styleId="a7">
    <w:name w:val="Intense Quote"/>
    <w:link w:val="a8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F81BD"/>
    </w:rPr>
  </w:style>
  <w:style w:type="character" w:styleId="a9">
    <w:name w:val="Subtle Reference"/>
    <w:uiPriority w:val="31"/>
    <w:qFormat/>
    <w:rPr>
      <w:smallCaps/>
      <w:color w:val="C0504D"/>
      <w:u w:val="single"/>
    </w:rPr>
  </w:style>
  <w:style w:type="character" w:styleId="aa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footnote text"/>
    <w:link w:val="ad"/>
    <w:uiPriority w:val="99"/>
    <w:semiHidden/>
    <w:unhideWhenUsed/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af2">
    <w:name w:val="Plain Text"/>
    <w:link w:val="af3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Pr>
      <w:rFonts w:ascii="Courier New" w:hAnsi="Courier New" w:cs="Courier New"/>
      <w:sz w:val="21"/>
      <w:szCs w:val="21"/>
    </w:rPr>
  </w:style>
  <w:style w:type="paragraph" w:styleId="af4">
    <w:name w:val="header"/>
    <w:link w:val="af5"/>
    <w:uiPriority w:val="99"/>
    <w:unhideWhenUsed/>
  </w:style>
  <w:style w:type="character" w:customStyle="1" w:styleId="af5">
    <w:name w:val="Верхний колонтитул Знак"/>
    <w:link w:val="af4"/>
    <w:uiPriority w:val="99"/>
  </w:style>
  <w:style w:type="paragraph" w:styleId="af6">
    <w:name w:val="footer"/>
    <w:link w:val="af7"/>
    <w:uiPriority w:val="99"/>
    <w:unhideWhenUsed/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caption"/>
    <w:uiPriority w:val="35"/>
    <w:qFormat/>
    <w:pPr>
      <w:spacing w:after="200"/>
    </w:pPr>
    <w:rPr>
      <w:i/>
      <w:iCs/>
      <w:color w:val="1F497D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c">
    <w:name w:val="Абзац списка Знак"/>
    <w:basedOn w:val="a0"/>
    <w:link w:val="afb"/>
    <w:uiPriority w:val="34"/>
  </w:style>
  <w:style w:type="character" w:styleId="afd">
    <w:name w:val="Placeholder Text"/>
    <w:uiPriority w:val="99"/>
    <w:semiHidden/>
    <w:rPr>
      <w:color w:val="808080"/>
    </w:rPr>
  </w:style>
  <w:style w:type="paragraph" w:styleId="afe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термочувствительные сополимеры N-изопропилакриламида разветвлённого строения</vt:lpstr>
    </vt:vector>
  </TitlesOfParts>
  <Company>Lomonosov MSU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термочувствительные сополимеры N-изопропилакриламида разветвлённого строения</dc:title>
  <dc:creator>Иван</dc:creator>
  <cp:lastModifiedBy>Надежда</cp:lastModifiedBy>
  <cp:revision>4</cp:revision>
  <dcterms:created xsi:type="dcterms:W3CDTF">2024-02-15T11:11:00Z</dcterms:created>
  <dcterms:modified xsi:type="dcterms:W3CDTF">2024-02-15T13:14:00Z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