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7B7AA5B" w:rsidR="00130241" w:rsidRPr="00A3581B" w:rsidRDefault="00A3581B" w:rsidP="00A35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продуктов полимеризации </w:t>
      </w:r>
      <w:proofErr w:type="spellStart"/>
      <w:r>
        <w:rPr>
          <w:b/>
          <w:color w:val="000000"/>
        </w:rPr>
        <w:t>пропиленоксалата</w:t>
      </w:r>
      <w:proofErr w:type="spellEnd"/>
      <w:r>
        <w:rPr>
          <w:b/>
          <w:color w:val="000000"/>
        </w:rPr>
        <w:t xml:space="preserve"> под действием </w:t>
      </w:r>
      <w:proofErr w:type="spellStart"/>
      <w:r>
        <w:rPr>
          <w:b/>
          <w:color w:val="000000"/>
        </w:rPr>
        <w:t>октаноата</w:t>
      </w:r>
      <w:proofErr w:type="spellEnd"/>
      <w:r>
        <w:rPr>
          <w:b/>
          <w:color w:val="000000"/>
        </w:rPr>
        <w:t xml:space="preserve"> олова </w:t>
      </w:r>
      <w:r w:rsidRPr="00A3581B">
        <w:rPr>
          <w:b/>
          <w:color w:val="000000"/>
        </w:rPr>
        <w:t>(</w:t>
      </w:r>
      <w:r>
        <w:rPr>
          <w:b/>
          <w:color w:val="000000"/>
          <w:lang w:val="en-GB"/>
        </w:rPr>
        <w:t>II</w:t>
      </w:r>
      <w:r w:rsidRPr="00A3581B">
        <w:rPr>
          <w:b/>
          <w:color w:val="000000"/>
        </w:rPr>
        <w:t>)</w:t>
      </w:r>
    </w:p>
    <w:p w14:paraId="00000002" w14:textId="781EBEAC" w:rsidR="00130241" w:rsidRDefault="00A35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Егорова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EB1F49" w:rsidRPr="00B9044B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Якимов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0C36B13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3581B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6EFF09EE" w:rsidR="00130241" w:rsidRPr="00BD5C8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3581B">
        <w:rPr>
          <w:i/>
          <w:color w:val="000000"/>
          <w:lang w:val="en-GB"/>
        </w:rPr>
        <w:t>E</w:t>
      </w:r>
      <w:r w:rsidR="003B76D6" w:rsidRPr="00BD5C81">
        <w:rPr>
          <w:i/>
          <w:color w:val="000000"/>
        </w:rPr>
        <w:t>-</w:t>
      </w:r>
      <w:r w:rsidRPr="00A3581B">
        <w:rPr>
          <w:i/>
          <w:color w:val="000000"/>
          <w:lang w:val="en-GB"/>
        </w:rPr>
        <w:t>mail</w:t>
      </w:r>
      <w:r w:rsidRPr="00BD5C81">
        <w:rPr>
          <w:i/>
          <w:color w:val="000000"/>
        </w:rPr>
        <w:t xml:space="preserve">: </w:t>
      </w:r>
      <w:hyperlink r:id="rId6">
        <w:r w:rsidR="00A3581B" w:rsidRPr="00A3581B">
          <w:rPr>
            <w:i/>
            <w:color w:val="000000"/>
            <w:u w:val="single"/>
            <w:lang w:val="en-GB"/>
          </w:rPr>
          <w:t>alexandra</w:t>
        </w:r>
        <w:r w:rsidR="00A3581B" w:rsidRPr="00BD5C81">
          <w:rPr>
            <w:i/>
            <w:color w:val="000000"/>
            <w:u w:val="single"/>
          </w:rPr>
          <w:t>.</w:t>
        </w:r>
        <w:r w:rsidR="00A3581B" w:rsidRPr="00A3581B">
          <w:rPr>
            <w:i/>
            <w:color w:val="000000"/>
            <w:u w:val="single"/>
            <w:lang w:val="en-GB"/>
          </w:rPr>
          <w:t>is</w:t>
        </w:r>
        <w:r w:rsidR="00A3581B" w:rsidRPr="00BD5C81">
          <w:rPr>
            <w:i/>
            <w:color w:val="000000"/>
            <w:u w:val="single"/>
          </w:rPr>
          <w:t>.</w:t>
        </w:r>
        <w:r w:rsidR="00A3581B" w:rsidRPr="00A3581B">
          <w:rPr>
            <w:i/>
            <w:color w:val="000000"/>
            <w:u w:val="single"/>
            <w:lang w:val="en-GB"/>
          </w:rPr>
          <w:t>listening</w:t>
        </w:r>
        <w:r w:rsidR="00A3581B" w:rsidRPr="00BD5C81">
          <w:rPr>
            <w:i/>
            <w:color w:val="000000"/>
            <w:u w:val="single"/>
          </w:rPr>
          <w:t>@</w:t>
        </w:r>
        <w:r w:rsidR="00A3581B" w:rsidRPr="00A3581B">
          <w:rPr>
            <w:i/>
            <w:color w:val="000000"/>
            <w:u w:val="single"/>
            <w:lang w:val="en-GB"/>
          </w:rPr>
          <w:t>gmail</w:t>
        </w:r>
        <w:r w:rsidR="00A3581B" w:rsidRPr="00BD5C81">
          <w:rPr>
            <w:i/>
            <w:color w:val="000000"/>
            <w:u w:val="single"/>
          </w:rPr>
          <w:t>.</w:t>
        </w:r>
        <w:r w:rsidR="00A3581B" w:rsidRPr="00A3581B">
          <w:rPr>
            <w:i/>
            <w:color w:val="000000"/>
            <w:u w:val="single"/>
            <w:lang w:val="en-GB"/>
          </w:rPr>
          <w:t>com</w:t>
        </w:r>
      </w:hyperlink>
      <w:r w:rsidRPr="00BD5C81">
        <w:rPr>
          <w:i/>
          <w:color w:val="000000"/>
        </w:rPr>
        <w:t xml:space="preserve"> </w:t>
      </w:r>
    </w:p>
    <w:p w14:paraId="25DAF190" w14:textId="77777777" w:rsidR="00A3581B" w:rsidRDefault="00A3581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A414DB1" w14:textId="0364705A" w:rsidR="005C5F26" w:rsidRDefault="007F1AE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Сложные полиэфиры активно используются в биомедицине при создании систем для доставки лекарств. Главным их преимуществом по отношению </w:t>
      </w:r>
      <w:r w:rsidR="00BD5C81">
        <w:rPr>
          <w:color w:val="000000"/>
        </w:rPr>
        <w:t xml:space="preserve">к карбоцепным полимерам заключается в </w:t>
      </w:r>
      <w:r>
        <w:rPr>
          <w:color w:val="000000"/>
        </w:rPr>
        <w:t>спосо</w:t>
      </w:r>
      <w:r w:rsidR="00BD5C81">
        <w:rPr>
          <w:color w:val="000000"/>
        </w:rPr>
        <w:t>бности</w:t>
      </w:r>
      <w:r>
        <w:rPr>
          <w:color w:val="000000"/>
        </w:rPr>
        <w:t xml:space="preserve"> к гидролитической деструкции в теле человека. При этом, изменяя скорость деструкции полимера</w:t>
      </w:r>
      <w:r w:rsidR="00BD5C81">
        <w:rPr>
          <w:color w:val="000000"/>
        </w:rPr>
        <w:t>,</w:t>
      </w:r>
      <w:r>
        <w:rPr>
          <w:color w:val="000000"/>
        </w:rPr>
        <w:t xml:space="preserve"> можно варьировать скорость высвобождения лекарства, включенного в полимерный носитель. Скорость гидролиза полиэфир</w:t>
      </w:r>
      <w:r w:rsidR="000852AB">
        <w:rPr>
          <w:color w:val="000000"/>
        </w:rPr>
        <w:t xml:space="preserve">а можно модулировать за счет подбора химической структуры мономера или соотношения </w:t>
      </w:r>
      <w:proofErr w:type="spellStart"/>
      <w:r w:rsidR="000852AB">
        <w:rPr>
          <w:color w:val="000000"/>
        </w:rPr>
        <w:t>мономерных</w:t>
      </w:r>
      <w:proofErr w:type="spellEnd"/>
      <w:r w:rsidR="000852AB">
        <w:rPr>
          <w:color w:val="000000"/>
        </w:rPr>
        <w:t xml:space="preserve"> звеньев в случае сополимера, что было успешно продемонстрированно на примере сополимеров </w:t>
      </w:r>
      <w:proofErr w:type="spellStart"/>
      <w:r w:rsidR="000852AB">
        <w:rPr>
          <w:color w:val="000000"/>
        </w:rPr>
        <w:t>ликтида</w:t>
      </w:r>
      <w:proofErr w:type="spellEnd"/>
      <w:r w:rsidR="000852AB">
        <w:rPr>
          <w:color w:val="000000"/>
        </w:rPr>
        <w:t xml:space="preserve"> и </w:t>
      </w:r>
      <w:proofErr w:type="spellStart"/>
      <w:r w:rsidR="000852AB">
        <w:rPr>
          <w:color w:val="000000"/>
        </w:rPr>
        <w:t>гликолида</w:t>
      </w:r>
      <w:proofErr w:type="spellEnd"/>
      <w:r w:rsidR="000852AB">
        <w:rPr>
          <w:color w:val="000000"/>
        </w:rPr>
        <w:t xml:space="preserve">. Однако, для терапии некоторых заболеваний необходимо очень быстрое высвобождение лекарства. В таких случаях более эффективными могут оказаться </w:t>
      </w:r>
      <w:r w:rsidR="00BD5C81">
        <w:rPr>
          <w:color w:val="000000"/>
        </w:rPr>
        <w:t xml:space="preserve">быстро-гидролизующиеся </w:t>
      </w:r>
      <w:r w:rsidR="000852AB">
        <w:rPr>
          <w:color w:val="000000"/>
        </w:rPr>
        <w:t>полимеры</w:t>
      </w:r>
      <w:r w:rsidR="00BD5C81">
        <w:rPr>
          <w:color w:val="000000"/>
        </w:rPr>
        <w:t>, полученные из других кислот</w:t>
      </w:r>
      <w:r w:rsidR="000852AB">
        <w:rPr>
          <w:color w:val="000000"/>
        </w:rPr>
        <w:t xml:space="preserve">. К </w:t>
      </w:r>
      <w:r w:rsidR="0062188F">
        <w:rPr>
          <w:color w:val="000000"/>
        </w:rPr>
        <w:t xml:space="preserve">таким полиэфирам относятся </w:t>
      </w:r>
      <w:proofErr w:type="spellStart"/>
      <w:r w:rsidR="0062188F">
        <w:rPr>
          <w:color w:val="000000"/>
        </w:rPr>
        <w:t>полиоксалаты</w:t>
      </w:r>
      <w:proofErr w:type="spellEnd"/>
      <w:r w:rsidR="0062188F">
        <w:rPr>
          <w:color w:val="000000"/>
        </w:rPr>
        <w:t xml:space="preserve">, которые </w:t>
      </w:r>
      <w:r w:rsidR="00A34193">
        <w:rPr>
          <w:color w:val="000000"/>
        </w:rPr>
        <w:t>можно получить</w:t>
      </w:r>
      <w:r w:rsidR="0062188F">
        <w:rPr>
          <w:color w:val="000000"/>
        </w:rPr>
        <w:t xml:space="preserve"> в ходе поликонденсации или полимеризации с раскрытием цикла под действием кислот Льюиса</w:t>
      </w:r>
      <w:r w:rsidR="009D317F">
        <w:rPr>
          <w:color w:val="000000"/>
        </w:rPr>
        <w:t xml:space="preserve"> </w:t>
      </w:r>
      <w:r w:rsidR="009D317F" w:rsidRPr="009D317F">
        <w:rPr>
          <w:color w:val="000000"/>
        </w:rPr>
        <w:t>[1]</w:t>
      </w:r>
      <w:r w:rsidR="0062188F">
        <w:rPr>
          <w:color w:val="000000"/>
        </w:rPr>
        <w:t xml:space="preserve">. </w:t>
      </w:r>
      <w:r w:rsidR="00A34193">
        <w:rPr>
          <w:color w:val="000000"/>
        </w:rPr>
        <w:t>Несмотря на потенциал</w:t>
      </w:r>
      <w:r w:rsidR="007C5B2E">
        <w:rPr>
          <w:color w:val="000000"/>
        </w:rPr>
        <w:t>ьную возможность</w:t>
      </w:r>
      <w:r w:rsidR="00A34193">
        <w:rPr>
          <w:color w:val="000000"/>
        </w:rPr>
        <w:t xml:space="preserve"> получения </w:t>
      </w:r>
      <w:proofErr w:type="spellStart"/>
      <w:r w:rsidR="00A34193">
        <w:rPr>
          <w:color w:val="000000"/>
        </w:rPr>
        <w:t>полиоксалатов</w:t>
      </w:r>
      <w:proofErr w:type="spellEnd"/>
      <w:r w:rsidR="00A34193">
        <w:rPr>
          <w:color w:val="000000"/>
        </w:rPr>
        <w:t xml:space="preserve"> с заданной архитектурой, полимеризация циклических оксалатов изучена слабо.</w:t>
      </w:r>
    </w:p>
    <w:p w14:paraId="7C3B0D4E" w14:textId="1E11E912" w:rsidR="00A34193" w:rsidRDefault="007C5B2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 данной работы состояла в проведении полимеризации циклического </w:t>
      </w:r>
      <w:proofErr w:type="spellStart"/>
      <w:r>
        <w:rPr>
          <w:color w:val="000000"/>
        </w:rPr>
        <w:t>проипленоксалата</w:t>
      </w:r>
      <w:proofErr w:type="spellEnd"/>
      <w:r>
        <w:rPr>
          <w:color w:val="000000"/>
        </w:rPr>
        <w:t xml:space="preserve"> под действием </w:t>
      </w:r>
      <w:proofErr w:type="spellStart"/>
      <w:r>
        <w:rPr>
          <w:color w:val="000000"/>
        </w:rPr>
        <w:t>октаноата</w:t>
      </w:r>
      <w:proofErr w:type="spellEnd"/>
      <w:r>
        <w:rPr>
          <w:color w:val="000000"/>
        </w:rPr>
        <w:t xml:space="preserve"> олова (</w:t>
      </w:r>
      <w:r>
        <w:rPr>
          <w:color w:val="000000"/>
          <w:lang w:val="en-GB"/>
        </w:rPr>
        <w:t>II</w:t>
      </w:r>
      <w:r w:rsidRPr="007C5B2E">
        <w:rPr>
          <w:color w:val="000000"/>
        </w:rPr>
        <w:t>)</w:t>
      </w:r>
      <w:r>
        <w:rPr>
          <w:color w:val="000000"/>
        </w:rPr>
        <w:t xml:space="preserve"> и из</w:t>
      </w:r>
      <w:r w:rsidR="00EB5B10">
        <w:rPr>
          <w:color w:val="000000"/>
        </w:rPr>
        <w:t>учении продуктов полимеризации. При проведении полимеризации наблюдалось выделение белого осадка, нерастворимого в органических растворителях, но растворимый в концентрированной соляной кислоте. Исходя из предположения о том, что в ходе реакции может образоваться оксалат олова (</w:t>
      </w:r>
      <w:r w:rsidR="00EB5B10">
        <w:rPr>
          <w:color w:val="000000"/>
          <w:lang w:val="en-GB"/>
        </w:rPr>
        <w:t>II</w:t>
      </w:r>
      <w:r w:rsidR="00EB5B10" w:rsidRPr="00EB5B10">
        <w:rPr>
          <w:color w:val="000000"/>
        </w:rPr>
        <w:t>)</w:t>
      </w:r>
      <w:r w:rsidR="00EB5B10">
        <w:rPr>
          <w:color w:val="000000"/>
        </w:rPr>
        <w:t xml:space="preserve">, это вещество было синтезировано в ходе неорганического синтеза. Полученный образец сравнили с осадком, образующимся в ходе полимеризации, с помощью </w:t>
      </w:r>
      <w:proofErr w:type="spellStart"/>
      <w:r w:rsidR="00EB5B10">
        <w:rPr>
          <w:color w:val="000000"/>
        </w:rPr>
        <w:t>термогравиметрии</w:t>
      </w:r>
      <w:proofErr w:type="spellEnd"/>
      <w:r w:rsidR="00EB5B10">
        <w:rPr>
          <w:color w:val="000000"/>
        </w:rPr>
        <w:t xml:space="preserve"> и </w:t>
      </w:r>
      <w:proofErr w:type="spellStart"/>
      <w:r w:rsidR="00EB5B10">
        <w:rPr>
          <w:color w:val="000000"/>
        </w:rPr>
        <w:t>ретнгенофазового</w:t>
      </w:r>
      <w:proofErr w:type="spellEnd"/>
      <w:r w:rsidR="00EB5B10">
        <w:rPr>
          <w:color w:val="000000"/>
        </w:rPr>
        <w:t xml:space="preserve"> анализа. Полученные данные свидетельствуют о том, что образующийся в реакционной смеси осадок является оксалатом олова (</w:t>
      </w:r>
      <w:r w:rsidR="00EB5B10">
        <w:rPr>
          <w:color w:val="000000"/>
          <w:lang w:val="en-GB"/>
        </w:rPr>
        <w:t>II</w:t>
      </w:r>
      <w:r w:rsidR="00EB5B10" w:rsidRPr="00EB5B10">
        <w:rPr>
          <w:color w:val="000000"/>
        </w:rPr>
        <w:t>)</w:t>
      </w:r>
      <w:r w:rsidR="00EB5B10">
        <w:rPr>
          <w:color w:val="000000"/>
        </w:rPr>
        <w:t xml:space="preserve">. С помощью </w:t>
      </w:r>
      <w:proofErr w:type="spellStart"/>
      <w:r w:rsidR="00EB5B10">
        <w:rPr>
          <w:color w:val="000000"/>
        </w:rPr>
        <w:t>иодометрического</w:t>
      </w:r>
      <w:proofErr w:type="spellEnd"/>
      <w:r w:rsidR="00EB5B10">
        <w:rPr>
          <w:color w:val="000000"/>
        </w:rPr>
        <w:t xml:space="preserve"> титрования </w:t>
      </w:r>
      <w:r w:rsidR="009D317F">
        <w:rPr>
          <w:color w:val="000000"/>
        </w:rPr>
        <w:t>было определено количество выделяющегося осадка.</w:t>
      </w:r>
    </w:p>
    <w:p w14:paraId="66D19D36" w14:textId="3ABB580C" w:rsidR="00C472C6" w:rsidRPr="00C472C6" w:rsidRDefault="009D317F" w:rsidP="00C47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Исследование органических продуктов полимеризации с помощью </w:t>
      </w:r>
      <w:proofErr w:type="gramStart"/>
      <w:r>
        <w:rPr>
          <w:color w:val="000000"/>
        </w:rPr>
        <w:t>гель-проникающей</w:t>
      </w:r>
      <w:proofErr w:type="gramEnd"/>
      <w:r>
        <w:rPr>
          <w:color w:val="000000"/>
        </w:rPr>
        <w:t xml:space="preserve"> хроматографии показало, что помимо полимера в реакционная смесь содержит непр</w:t>
      </w:r>
      <w:bookmarkStart w:id="0" w:name="_GoBack"/>
      <w:bookmarkEnd w:id="0"/>
      <w:r>
        <w:rPr>
          <w:color w:val="000000"/>
        </w:rPr>
        <w:t>ореагировавший мономер и олигомерную фракцию. Среднечисловая молекулярная масса синтезированного полимера составила порядка 10</w:t>
      </w:r>
      <w:r w:rsidRPr="009D317F">
        <w:rPr>
          <w:color w:val="000000"/>
          <w:vertAlign w:val="superscript"/>
        </w:rPr>
        <w:t>4</w:t>
      </w:r>
      <w:r>
        <w:rPr>
          <w:color w:val="000000"/>
        </w:rPr>
        <w:t xml:space="preserve">. С помощью спектроскопии ядерного магнитного резонанса была определена равновесная конверсия полимеризации, которая составила около 96% при 100 </w:t>
      </w:r>
      <w:r w:rsidRPr="009D317F">
        <w:rPr>
          <w:color w:val="000000"/>
          <w:vertAlign w:val="superscript"/>
          <w:lang w:val="en-GB"/>
        </w:rPr>
        <w:t>o</w:t>
      </w:r>
      <w:r>
        <w:rPr>
          <w:color w:val="000000"/>
          <w:lang w:val="en-GB"/>
        </w:rPr>
        <w:t>C</w:t>
      </w:r>
      <w:r w:rsidRPr="009D317F">
        <w:rPr>
          <w:color w:val="000000"/>
        </w:rPr>
        <w:t>.</w:t>
      </w:r>
      <w:r>
        <w:rPr>
          <w:color w:val="000000"/>
        </w:rPr>
        <w:t xml:space="preserve"> Таким образом, было показано, что реакция полимеризации </w:t>
      </w:r>
      <w:proofErr w:type="spellStart"/>
      <w:r>
        <w:rPr>
          <w:color w:val="000000"/>
        </w:rPr>
        <w:t>пропиленоксалата</w:t>
      </w:r>
      <w:proofErr w:type="spellEnd"/>
      <w:r>
        <w:rPr>
          <w:color w:val="000000"/>
        </w:rPr>
        <w:t xml:space="preserve"> под действием </w:t>
      </w:r>
      <w:proofErr w:type="spellStart"/>
      <w:r>
        <w:rPr>
          <w:color w:val="000000"/>
        </w:rPr>
        <w:t>октаноата</w:t>
      </w:r>
      <w:proofErr w:type="spellEnd"/>
      <w:r>
        <w:rPr>
          <w:color w:val="000000"/>
        </w:rPr>
        <w:t xml:space="preserve"> олова идет с высоким выходом и сопровождается образованием оксалата олова </w:t>
      </w:r>
      <w:r w:rsidRPr="009D317F">
        <w:rPr>
          <w:color w:val="000000"/>
        </w:rPr>
        <w:t>(</w:t>
      </w:r>
      <w:r>
        <w:rPr>
          <w:color w:val="000000"/>
          <w:lang w:val="en-GB"/>
        </w:rPr>
        <w:t>II</w:t>
      </w:r>
      <w:r w:rsidRPr="009D317F">
        <w:rPr>
          <w:color w:val="000000"/>
        </w:rPr>
        <w:t>).</w:t>
      </w:r>
    </w:p>
    <w:p w14:paraId="68707A4E" w14:textId="705B7F26" w:rsidR="00C472C6" w:rsidRPr="00A02163" w:rsidRDefault="00C472C6" w:rsidP="009D3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472C6">
        <w:rPr>
          <w:i/>
          <w:iCs/>
          <w:color w:val="000000"/>
        </w:rPr>
        <w:t>Работа выполнена при финансовой поддержке Российского Научного Фонда (проект № 23-23-00119).</w:t>
      </w:r>
    </w:p>
    <w:p w14:paraId="0000000E" w14:textId="77777777" w:rsidR="00130241" w:rsidRPr="00C472C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254312C3" w:rsidR="00116478" w:rsidRPr="00C472C6" w:rsidRDefault="009D317F" w:rsidP="00C472C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GB"/>
        </w:rPr>
      </w:pPr>
      <w:r w:rsidRPr="009D317F">
        <w:rPr>
          <w:lang w:val="en-GB"/>
        </w:rPr>
        <w:t>S. J. Holland, B. J. Tighe, P. L. Gould. Polymers for biodegradable medical devices. 1. The potential of polyesters as controlled macromolecula</w:t>
      </w:r>
      <w:r w:rsidR="00C472C6">
        <w:rPr>
          <w:lang w:val="en-GB"/>
        </w:rPr>
        <w:t>r release systems //</w:t>
      </w:r>
      <w:r w:rsidRPr="009D317F">
        <w:rPr>
          <w:lang w:val="en-GB"/>
        </w:rPr>
        <w:t xml:space="preserve"> J. Control. Release </w:t>
      </w:r>
      <w:r w:rsidR="00C472C6">
        <w:rPr>
          <w:lang w:val="en-GB"/>
        </w:rPr>
        <w:t>1986.</w:t>
      </w:r>
      <w:r w:rsidRPr="009D317F">
        <w:rPr>
          <w:lang w:val="en-GB"/>
        </w:rPr>
        <w:t xml:space="preserve"> </w:t>
      </w:r>
      <w:r w:rsidR="00C472C6">
        <w:rPr>
          <w:lang w:val="en-GB"/>
        </w:rPr>
        <w:t>Vol. 4</w:t>
      </w:r>
      <w:r w:rsidRPr="009D317F">
        <w:rPr>
          <w:lang w:val="en-GB"/>
        </w:rPr>
        <w:t xml:space="preserve">, </w:t>
      </w:r>
      <w:r w:rsidR="00C472C6">
        <w:rPr>
          <w:lang w:val="en-GB"/>
        </w:rPr>
        <w:t xml:space="preserve">P. </w:t>
      </w:r>
      <w:r w:rsidRPr="009D317F">
        <w:rPr>
          <w:lang w:val="en-GB"/>
        </w:rPr>
        <w:t>155–180.</w:t>
      </w:r>
    </w:p>
    <w:sectPr w:rsidR="00116478" w:rsidRPr="00C472C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1B66"/>
    <w:multiLevelType w:val="hybridMultilevel"/>
    <w:tmpl w:val="1A6CDFDC"/>
    <w:lvl w:ilvl="0" w:tplc="49EC3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52AB"/>
    <w:rsid w:val="00086081"/>
    <w:rsid w:val="00101A1C"/>
    <w:rsid w:val="00103657"/>
    <w:rsid w:val="00106375"/>
    <w:rsid w:val="00116478"/>
    <w:rsid w:val="001225AF"/>
    <w:rsid w:val="00130241"/>
    <w:rsid w:val="00154D13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C5F26"/>
    <w:rsid w:val="005D022B"/>
    <w:rsid w:val="005E5BE9"/>
    <w:rsid w:val="0062188F"/>
    <w:rsid w:val="0069427D"/>
    <w:rsid w:val="006F7A19"/>
    <w:rsid w:val="007213E1"/>
    <w:rsid w:val="00775389"/>
    <w:rsid w:val="00797838"/>
    <w:rsid w:val="007C36D8"/>
    <w:rsid w:val="007C5B2E"/>
    <w:rsid w:val="007F1AE8"/>
    <w:rsid w:val="007F2744"/>
    <w:rsid w:val="008931BE"/>
    <w:rsid w:val="008C67E3"/>
    <w:rsid w:val="00921D45"/>
    <w:rsid w:val="009A66DB"/>
    <w:rsid w:val="009B2F80"/>
    <w:rsid w:val="009B3300"/>
    <w:rsid w:val="009D317F"/>
    <w:rsid w:val="009F3380"/>
    <w:rsid w:val="00A02163"/>
    <w:rsid w:val="00A314FE"/>
    <w:rsid w:val="00A34193"/>
    <w:rsid w:val="00A3581B"/>
    <w:rsid w:val="00B246E5"/>
    <w:rsid w:val="00B9044B"/>
    <w:rsid w:val="00BD5C81"/>
    <w:rsid w:val="00BF36F8"/>
    <w:rsid w:val="00BF4622"/>
    <w:rsid w:val="00C472C6"/>
    <w:rsid w:val="00CD00B1"/>
    <w:rsid w:val="00D22306"/>
    <w:rsid w:val="00D42542"/>
    <w:rsid w:val="00D8121C"/>
    <w:rsid w:val="00E22189"/>
    <w:rsid w:val="00E74069"/>
    <w:rsid w:val="00EB1F49"/>
    <w:rsid w:val="00EB5B1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2A97D-9280-4369-8C26-8F9924B3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Якимов</dc:creator>
  <cp:lastModifiedBy>Николай Якимов</cp:lastModifiedBy>
  <cp:revision>4</cp:revision>
  <dcterms:created xsi:type="dcterms:W3CDTF">2024-02-13T16:41:00Z</dcterms:created>
  <dcterms:modified xsi:type="dcterms:W3CDTF">2024-02-14T16:07:00Z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