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55024EB" w:rsidR="00130241" w:rsidRPr="0086533A" w:rsidRDefault="0086533A" w:rsidP="008653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86533A">
        <w:rPr>
          <w:b/>
          <w:color w:val="000000"/>
        </w:rPr>
        <w:t>Аддитивное производство многослойных биоразлагаемых пленок элюирующих лекарственное средство</w:t>
      </w:r>
    </w:p>
    <w:p w14:paraId="00000002" w14:textId="306BCF7C" w:rsidR="00130241" w:rsidRPr="0086533A" w:rsidRDefault="0086533A" w:rsidP="008653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86533A">
        <w:rPr>
          <w:b/>
          <w:i/>
          <w:color w:val="000000"/>
        </w:rPr>
        <w:t>Прошин</w:t>
      </w:r>
      <w:r w:rsidR="008F735D" w:rsidRPr="008F735D">
        <w:rPr>
          <w:b/>
          <w:i/>
          <w:color w:val="000000"/>
        </w:rPr>
        <w:t xml:space="preserve"> </w:t>
      </w:r>
      <w:r w:rsidR="008F735D" w:rsidRPr="0086533A">
        <w:rPr>
          <w:b/>
          <w:i/>
          <w:color w:val="000000"/>
        </w:rPr>
        <w:t>П.И.</w:t>
      </w:r>
      <w:r w:rsidRPr="0086533A">
        <w:rPr>
          <w:b/>
          <w:i/>
          <w:color w:val="000000"/>
        </w:rPr>
        <w:t>, Абдурашитов</w:t>
      </w:r>
      <w:r w:rsidR="008F735D" w:rsidRPr="0086533A">
        <w:rPr>
          <w:b/>
          <w:i/>
          <w:color w:val="000000"/>
        </w:rPr>
        <w:t xml:space="preserve"> А.С.</w:t>
      </w:r>
      <w:r w:rsidR="005400D9" w:rsidRPr="005400D9">
        <w:rPr>
          <w:b/>
          <w:i/>
          <w:color w:val="000000"/>
          <w:vertAlign w:val="superscript"/>
        </w:rPr>
        <w:t xml:space="preserve"> </w:t>
      </w:r>
    </w:p>
    <w:p w14:paraId="00000003" w14:textId="549EF77A" w:rsidR="00130241" w:rsidRDefault="008653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4 </w:t>
      </w:r>
      <w:r>
        <w:rPr>
          <w:i/>
          <w:color w:val="000000"/>
        </w:rPr>
        <w:t>год обучения</w:t>
      </w:r>
    </w:p>
    <w:p w14:paraId="64761438" w14:textId="3303A2B6" w:rsidR="0086533A" w:rsidRPr="0086533A" w:rsidRDefault="0086533A" w:rsidP="0086533A">
      <w:pPr>
        <w:jc w:val="center"/>
        <w:rPr>
          <w:i/>
          <w:iCs/>
        </w:rPr>
      </w:pPr>
      <w:r w:rsidRPr="0086533A">
        <w:rPr>
          <w:i/>
          <w:iCs/>
        </w:rPr>
        <w:t>Сколковский институт науки и технологий, Москва, Российская Федерация</w:t>
      </w:r>
    </w:p>
    <w:p w14:paraId="0696CBE8" w14:textId="77777777" w:rsidR="005A6F5B" w:rsidRPr="005A6F5B" w:rsidRDefault="005A6F5B" w:rsidP="005A6F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5A6F5B">
        <w:rPr>
          <w:i/>
          <w:color w:val="000000"/>
          <w:u w:val="single"/>
          <w:lang w:val="en-US"/>
        </w:rPr>
        <w:t>pavel.proshin@skoltech.com</w:t>
      </w:r>
    </w:p>
    <w:p w14:paraId="73B2F405" w14:textId="2D85F1B7" w:rsidR="005A6F5B" w:rsidRPr="005A6F5B" w:rsidRDefault="0086533A" w:rsidP="006659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A6F5B">
        <w:rPr>
          <w:color w:val="000000"/>
        </w:rPr>
        <w:t>Адресная доставка препаратов с помощью биорезорбируемых полимерных пленок (БПП), выделяющих лекарства, используется уже более двух десятилетий и получила широкое распространение в различных медицинских устройствах [1,</w:t>
      </w:r>
      <w:r w:rsidR="00F73E86" w:rsidRPr="005A6F5B">
        <w:rPr>
          <w:color w:val="000000"/>
        </w:rPr>
        <w:t xml:space="preserve"> </w:t>
      </w:r>
      <w:r w:rsidRPr="005A6F5B">
        <w:rPr>
          <w:color w:val="000000"/>
        </w:rPr>
        <w:t>2]. Лекарственное покрытие, изготовленное из различных биосовместимых полимеров</w:t>
      </w:r>
      <w:r w:rsidR="001F70E7" w:rsidRPr="005A6F5B">
        <w:rPr>
          <w:color w:val="000000"/>
        </w:rPr>
        <w:t>,</w:t>
      </w:r>
      <w:r w:rsidRPr="005A6F5B">
        <w:rPr>
          <w:color w:val="000000"/>
        </w:rPr>
        <w:t xml:space="preserve"> поддерживает концентрацию лекарства в месте нанесения, аналогичную или даже превосходящую концентрацию препарата при системной терапии при использовании гораздо меньшей общей дозы [3].</w:t>
      </w:r>
    </w:p>
    <w:p w14:paraId="78221577" w14:textId="77777777" w:rsidR="005A6F5B" w:rsidRDefault="0086533A" w:rsidP="006659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Цель данной работы заключается в разработке и представлении новой технологии, названной PLACE (Printed Layered Adjustable Cargo Encapsulation). Эта технология предлагает аддитивный подход к созданию пленок и обладает рядом значительных преимуществ</w:t>
      </w:r>
      <w:r w:rsidR="001F70E7">
        <w:t xml:space="preserve">. </w:t>
      </w:r>
      <w:r>
        <w:t xml:space="preserve">Она доступна для использования в любой лабораторной среде, масштабируема и повторяема. Основные задачи, поставленные перед технологией - создание лекарственных покрытий большой площади с возможностью точного контроля </w:t>
      </w:r>
      <w:r w:rsidR="001F70E7">
        <w:t>формы пленок и дозирования</w:t>
      </w:r>
      <w:r>
        <w:t xml:space="preserve"> лекарственных средств до 1 мг/см</w:t>
      </w:r>
      <w:r w:rsidRPr="00D83A96">
        <w:rPr>
          <w:vertAlign w:val="superscript"/>
        </w:rPr>
        <w:t>2</w:t>
      </w:r>
      <w:r>
        <w:t>.</w:t>
      </w:r>
    </w:p>
    <w:p w14:paraId="4B786A37" w14:textId="2927698E" w:rsidR="0086533A" w:rsidRPr="008B51D6" w:rsidRDefault="0086533A" w:rsidP="006659D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</w:t>
      </w:r>
      <w:r w:rsidRPr="00EF6597">
        <w:t xml:space="preserve"> качестве демонстрации возможностей технологии </w:t>
      </w:r>
      <w:r>
        <w:t>были изготовлены</w:t>
      </w:r>
      <w:r w:rsidRPr="00EF6597">
        <w:t xml:space="preserve"> </w:t>
      </w:r>
      <w:r>
        <w:t>многослойные</w:t>
      </w:r>
      <w:r w:rsidRPr="00EF6597">
        <w:t xml:space="preserve"> пленки </w:t>
      </w:r>
      <w:r>
        <w:t xml:space="preserve">из </w:t>
      </w:r>
      <w:r w:rsidRPr="00EF6597">
        <w:t>полигликолевой кислоты, содержащие различные концентрации антибиотика цефазолина</w:t>
      </w:r>
      <w:r>
        <w:t xml:space="preserve"> и изучено </w:t>
      </w:r>
      <w:r w:rsidRPr="00EF6597">
        <w:t>влияние количества загруженного лекарственного компонента на процесс изготовления пленки и кинетику высвобождения.</w:t>
      </w:r>
      <w:r w:rsidRPr="0086533A">
        <w:t xml:space="preserve"> </w:t>
      </w:r>
      <w:r>
        <w:t>Показана возможность использования значительной загрузки препарата</w:t>
      </w:r>
      <w:r w:rsidRPr="00EF6597">
        <w:t xml:space="preserve"> до </w:t>
      </w:r>
      <w:r w:rsidR="008B51D6">
        <w:t>200–400</w:t>
      </w:r>
      <w:r w:rsidR="008B51D6" w:rsidRPr="008B51D6">
        <w:t xml:space="preserve"> </w:t>
      </w:r>
      <w:r w:rsidRPr="00026D5C">
        <w:t>м</w:t>
      </w:r>
      <w:r>
        <w:t>к</w:t>
      </w:r>
      <w:r w:rsidRPr="00026D5C">
        <w:t>г/см</w:t>
      </w:r>
      <w:r w:rsidRPr="002A0D32">
        <w:rPr>
          <w:vertAlign w:val="superscript"/>
        </w:rPr>
        <w:t>2</w:t>
      </w:r>
      <w:r w:rsidRPr="00EF6597">
        <w:t xml:space="preserve"> при сохранении равномерного высвобождения антибиотика цефазолина в дозировке, достаточной для местной антимикробной терапии в течение 14 дней</w:t>
      </w:r>
      <w:r>
        <w:t xml:space="preserve"> (рис.</w:t>
      </w:r>
      <w:r w:rsidR="00860E55">
        <w:t>1</w:t>
      </w:r>
      <w:r>
        <w:t>)</w:t>
      </w:r>
      <w:r w:rsidRPr="00EF6597">
        <w:t>.</w:t>
      </w:r>
    </w:p>
    <w:p w14:paraId="09155C61" w14:textId="59385E2D" w:rsidR="0086533A" w:rsidRDefault="00FF2B75" w:rsidP="005A6F5B">
      <w:pPr>
        <w:pStyle w:val="ab"/>
        <w:spacing w:before="0" w:beforeAutospacing="0" w:after="0" w:afterAutospacing="0"/>
        <w:ind w:firstLine="397"/>
        <w:jc w:val="both"/>
        <w:rPr>
          <w:color w:val="00000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79220E3" wp14:editId="017D372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441600" cy="2109600"/>
            <wp:effectExtent l="0" t="0" r="6985" b="5080"/>
            <wp:wrapTopAndBottom/>
            <wp:docPr id="2" name="Рисунок 1" descr="Изображение выглядит как текст, снимок экрана, Шрифт, диаграмм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текст, снимок экрана, Шрифт, диаграмм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7" b="2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600" cy="21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33A" w:rsidRPr="00912618">
        <w:rPr>
          <w:color w:val="000000"/>
        </w:rPr>
        <w:t>Рис</w:t>
      </w:r>
      <w:r w:rsidR="001F70E7">
        <w:rPr>
          <w:color w:val="000000"/>
        </w:rPr>
        <w:t>.</w:t>
      </w:r>
      <w:r w:rsidR="00C36EAA" w:rsidRPr="00860E55">
        <w:rPr>
          <w:color w:val="000000"/>
        </w:rPr>
        <w:t xml:space="preserve"> </w:t>
      </w:r>
      <w:r w:rsidR="00860E55">
        <w:rPr>
          <w:color w:val="000000"/>
        </w:rPr>
        <w:t>1</w:t>
      </w:r>
      <w:r w:rsidR="0086533A" w:rsidRPr="00912618">
        <w:rPr>
          <w:color w:val="000000"/>
        </w:rPr>
        <w:t xml:space="preserve">. </w:t>
      </w:r>
      <w:r w:rsidR="0086533A" w:rsidRPr="00D16E0C">
        <w:rPr>
          <w:color w:val="000000"/>
        </w:rPr>
        <w:t xml:space="preserve">Ежедневный профиль </w:t>
      </w:r>
      <w:r w:rsidR="0086533A">
        <w:rPr>
          <w:color w:val="000000"/>
        </w:rPr>
        <w:t>релиза пленок с загрузкой цефазолина 100 мкг/мл матрицы</w:t>
      </w:r>
      <w:r w:rsidR="0086533A" w:rsidRPr="00D16E0C">
        <w:rPr>
          <w:color w:val="000000"/>
        </w:rPr>
        <w:t>. Минимальная ингибирующая концентрация для Метициллин-резистентн</w:t>
      </w:r>
      <w:r w:rsidR="0086533A">
        <w:rPr>
          <w:color w:val="000000"/>
        </w:rPr>
        <w:t xml:space="preserve">ого </w:t>
      </w:r>
      <w:r w:rsidR="0086533A" w:rsidRPr="00D16E0C">
        <w:rPr>
          <w:color w:val="000000"/>
        </w:rPr>
        <w:t>золотист</w:t>
      </w:r>
      <w:r w:rsidR="0086533A">
        <w:rPr>
          <w:color w:val="000000"/>
        </w:rPr>
        <w:t>ого</w:t>
      </w:r>
      <w:r w:rsidR="0086533A" w:rsidRPr="00D16E0C">
        <w:rPr>
          <w:color w:val="000000"/>
        </w:rPr>
        <w:t xml:space="preserve"> стафилококк</w:t>
      </w:r>
      <w:r w:rsidR="0086533A">
        <w:rPr>
          <w:color w:val="000000"/>
        </w:rPr>
        <w:t>а</w:t>
      </w:r>
      <w:r w:rsidR="0086533A" w:rsidRPr="00D16E0C">
        <w:rPr>
          <w:color w:val="000000"/>
        </w:rPr>
        <w:t xml:space="preserve"> показана </w:t>
      </w:r>
      <w:r w:rsidR="0086533A">
        <w:rPr>
          <w:color w:val="000000"/>
        </w:rPr>
        <w:t>голубой</w:t>
      </w:r>
      <w:r w:rsidR="0086533A" w:rsidRPr="00D16E0C">
        <w:rPr>
          <w:color w:val="000000"/>
        </w:rPr>
        <w:t xml:space="preserve"> пунктирной линией.</w:t>
      </w:r>
    </w:p>
    <w:p w14:paraId="03BAD8AB" w14:textId="7DE1FCE8" w:rsidR="00001F3C" w:rsidRPr="005A6F5B" w:rsidRDefault="00001F3C" w:rsidP="005A6F5B">
      <w:pPr>
        <w:pStyle w:val="ab"/>
        <w:spacing w:before="0" w:beforeAutospacing="0" w:after="0" w:afterAutospacing="0"/>
        <w:ind w:firstLine="397"/>
        <w:jc w:val="both"/>
        <w:rPr>
          <w:i/>
          <w:color w:val="000000"/>
        </w:rPr>
      </w:pPr>
      <w:r w:rsidRPr="005A6F5B">
        <w:rPr>
          <w:i/>
          <w:iCs/>
          <w:color w:val="000000"/>
        </w:rPr>
        <w:t>Автор выражает благодарность своему научному руководителю</w:t>
      </w:r>
      <w:r w:rsidR="005400D9" w:rsidRPr="005A6F5B">
        <w:rPr>
          <w:i/>
          <w:color w:val="000000"/>
        </w:rPr>
        <w:t xml:space="preserve"> — </w:t>
      </w:r>
      <w:r w:rsidRPr="005A6F5B">
        <w:rPr>
          <w:i/>
          <w:iCs/>
          <w:color w:val="000000"/>
        </w:rPr>
        <w:t>проф.</w:t>
      </w:r>
      <w:r w:rsidR="003A11A9" w:rsidRPr="005A6F5B">
        <w:rPr>
          <w:i/>
          <w:iCs/>
          <w:color w:val="000000"/>
        </w:rPr>
        <w:t> </w:t>
      </w:r>
      <w:r w:rsidRPr="005A6F5B">
        <w:rPr>
          <w:i/>
          <w:iCs/>
          <w:color w:val="000000"/>
        </w:rPr>
        <w:t>Г.Б.</w:t>
      </w:r>
      <w:r w:rsidR="003A11A9" w:rsidRPr="005A6F5B">
        <w:rPr>
          <w:i/>
        </w:rPr>
        <w:t> </w:t>
      </w:r>
      <w:r w:rsidRPr="005A6F5B">
        <w:rPr>
          <w:i/>
          <w:iCs/>
          <w:color w:val="000000"/>
        </w:rPr>
        <w:t xml:space="preserve">Сухорукову </w:t>
      </w:r>
      <w:r w:rsidR="00225583" w:rsidRPr="005A6F5B">
        <w:rPr>
          <w:i/>
          <w:iCs/>
          <w:color w:val="000000"/>
        </w:rPr>
        <w:t xml:space="preserve">за обмен научным опытом и обсуждение результатов </w:t>
      </w:r>
      <w:r w:rsidR="003A11A9" w:rsidRPr="005A6F5B">
        <w:rPr>
          <w:i/>
          <w:iCs/>
          <w:color w:val="000000"/>
        </w:rPr>
        <w:t xml:space="preserve">данного </w:t>
      </w:r>
      <w:r w:rsidR="00225583" w:rsidRPr="005A6F5B">
        <w:rPr>
          <w:i/>
          <w:iCs/>
          <w:color w:val="000000"/>
        </w:rPr>
        <w:t>исследования.</w:t>
      </w:r>
    </w:p>
    <w:p w14:paraId="263C0584" w14:textId="77777777" w:rsidR="00C36EAA" w:rsidRPr="00AC2B9C" w:rsidRDefault="00C36EAA" w:rsidP="006659D9">
      <w:pPr>
        <w:pStyle w:val="ab"/>
        <w:spacing w:before="0" w:beforeAutospacing="0" w:after="0" w:afterAutospacing="0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DE100C6" w14:textId="4597E403" w:rsidR="001F70E7" w:rsidRPr="00C36EAA" w:rsidRDefault="005A6F5B" w:rsidP="005A6F5B">
      <w:pPr>
        <w:pStyle w:val="ab"/>
        <w:spacing w:before="0" w:beforeAutospacing="0" w:after="0" w:afterAutospacing="0"/>
        <w:jc w:val="both"/>
        <w:rPr>
          <w:b/>
          <w:color w:val="000000"/>
          <w:lang w:val="en-US"/>
        </w:rPr>
      </w:pPr>
      <w:r>
        <w:rPr>
          <w:lang w:val="en-US"/>
        </w:rPr>
        <w:t xml:space="preserve">1. </w:t>
      </w:r>
      <w:r w:rsidR="001F70E7" w:rsidRPr="00CF57D0">
        <w:rPr>
          <w:lang w:val="en-US"/>
        </w:rPr>
        <w:t>Shah P., Chandra S. Review on emergence of nanomaterial coatings in bio-engineered cardiovascular stents // J Drug Deliv Sci Technol. Editions de Sante, 2022. Vol. 70.</w:t>
      </w:r>
    </w:p>
    <w:p w14:paraId="39F50911" w14:textId="6F1329EB" w:rsidR="006659D9" w:rsidRDefault="00C36EAA" w:rsidP="005A6F5B">
      <w:pPr>
        <w:autoSpaceDE w:val="0"/>
        <w:autoSpaceDN w:val="0"/>
        <w:jc w:val="both"/>
        <w:rPr>
          <w:lang w:val="en-US"/>
        </w:rPr>
      </w:pPr>
      <w:r>
        <w:rPr>
          <w:lang w:val="en-US"/>
        </w:rPr>
        <w:t>2.</w:t>
      </w:r>
      <w:r w:rsidR="00860E55" w:rsidRPr="00860E55">
        <w:rPr>
          <w:lang w:val="en-US"/>
        </w:rPr>
        <w:t xml:space="preserve"> </w:t>
      </w:r>
      <w:r w:rsidR="001F70E7" w:rsidRPr="00C36EAA">
        <w:rPr>
          <w:lang w:val="en-US"/>
        </w:rPr>
        <w:t>Hong S.J., Hong M.K. Drug-eluting stents for the treatment of coronary artery disease: A review of recent advances // Expert Opin Drug Deliv., 2022. Vol. 19, № 3. P. 269–280.</w:t>
      </w:r>
    </w:p>
    <w:p w14:paraId="41B312B2" w14:textId="13BCC0C6" w:rsidR="001F70E7" w:rsidRPr="00860E55" w:rsidRDefault="005A6F5B" w:rsidP="005A6F5B">
      <w:pPr>
        <w:autoSpaceDE w:val="0"/>
        <w:autoSpaceDN w:val="0"/>
        <w:jc w:val="both"/>
      </w:pPr>
      <w:r>
        <w:rPr>
          <w:lang w:val="en-US"/>
        </w:rPr>
        <w:t xml:space="preserve">3. </w:t>
      </w:r>
      <w:r w:rsidR="001F70E7" w:rsidRPr="00C36EAA">
        <w:rPr>
          <w:lang w:val="en-US"/>
        </w:rPr>
        <w:t>Bajpai A.K. et al. Responsive polymers in controlled drug delivery // Prog Polym Sci. Pergamon</w:t>
      </w:r>
      <w:r w:rsidR="001F70E7" w:rsidRPr="00860E55">
        <w:t xml:space="preserve">, 2008. </w:t>
      </w:r>
      <w:r w:rsidR="001F70E7" w:rsidRPr="00C36EAA">
        <w:rPr>
          <w:lang w:val="en-US"/>
        </w:rPr>
        <w:t>Vol</w:t>
      </w:r>
      <w:r w:rsidR="001F70E7" w:rsidRPr="00860E55">
        <w:t xml:space="preserve">. 33, № 11. </w:t>
      </w:r>
      <w:r w:rsidR="001F70E7" w:rsidRPr="00C36EAA">
        <w:rPr>
          <w:lang w:val="en-US"/>
        </w:rPr>
        <w:t>P</w:t>
      </w:r>
      <w:r w:rsidR="001F70E7" w:rsidRPr="00860E55">
        <w:t>. 1088–1118.</w:t>
      </w:r>
    </w:p>
    <w:sectPr w:rsidR="001F70E7" w:rsidRPr="00860E5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A4D79"/>
    <w:multiLevelType w:val="hybridMultilevel"/>
    <w:tmpl w:val="A3568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A2DCA"/>
    <w:multiLevelType w:val="hybridMultilevel"/>
    <w:tmpl w:val="43C41DC4"/>
    <w:lvl w:ilvl="0" w:tplc="6656751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2"/>
  </w:num>
  <w:num w:numId="2" w16cid:durableId="298656977">
    <w:abstractNumId w:val="3"/>
  </w:num>
  <w:num w:numId="3" w16cid:durableId="52430565">
    <w:abstractNumId w:val="0"/>
  </w:num>
  <w:num w:numId="4" w16cid:durableId="67970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01F3C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1F70E7"/>
    <w:rsid w:val="00225583"/>
    <w:rsid w:val="002264EE"/>
    <w:rsid w:val="00230976"/>
    <w:rsid w:val="0023307C"/>
    <w:rsid w:val="0031361E"/>
    <w:rsid w:val="00391C38"/>
    <w:rsid w:val="003A11A9"/>
    <w:rsid w:val="003B76D6"/>
    <w:rsid w:val="004A26A3"/>
    <w:rsid w:val="004F0EDF"/>
    <w:rsid w:val="00522BF1"/>
    <w:rsid w:val="005400D9"/>
    <w:rsid w:val="00590166"/>
    <w:rsid w:val="005A6F5B"/>
    <w:rsid w:val="005D022B"/>
    <w:rsid w:val="005E5BE9"/>
    <w:rsid w:val="00626283"/>
    <w:rsid w:val="006659D9"/>
    <w:rsid w:val="0069427D"/>
    <w:rsid w:val="006F7A19"/>
    <w:rsid w:val="007213E1"/>
    <w:rsid w:val="00775389"/>
    <w:rsid w:val="00797838"/>
    <w:rsid w:val="007C36D8"/>
    <w:rsid w:val="007F2744"/>
    <w:rsid w:val="00860E55"/>
    <w:rsid w:val="0086533A"/>
    <w:rsid w:val="008931BE"/>
    <w:rsid w:val="00894628"/>
    <w:rsid w:val="008B4439"/>
    <w:rsid w:val="008B51D6"/>
    <w:rsid w:val="008C67E3"/>
    <w:rsid w:val="008F735D"/>
    <w:rsid w:val="00921D45"/>
    <w:rsid w:val="009A66DB"/>
    <w:rsid w:val="009B2F80"/>
    <w:rsid w:val="009B3300"/>
    <w:rsid w:val="009F3380"/>
    <w:rsid w:val="00A02163"/>
    <w:rsid w:val="00A314FE"/>
    <w:rsid w:val="00AC2B9C"/>
    <w:rsid w:val="00BF36F8"/>
    <w:rsid w:val="00BF4622"/>
    <w:rsid w:val="00C36EAA"/>
    <w:rsid w:val="00CD00B1"/>
    <w:rsid w:val="00D22306"/>
    <w:rsid w:val="00D42542"/>
    <w:rsid w:val="00D8121C"/>
    <w:rsid w:val="00E22189"/>
    <w:rsid w:val="00E74069"/>
    <w:rsid w:val="00EB1F49"/>
    <w:rsid w:val="00F73E86"/>
    <w:rsid w:val="00F865B3"/>
    <w:rsid w:val="00F96673"/>
    <w:rsid w:val="00FB1509"/>
    <w:rsid w:val="00FF1903"/>
    <w:rsid w:val="00F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4:defaultImageDpi w14:val="3276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uiPriority w:val="99"/>
    <w:unhideWhenUsed/>
    <w:rsid w:val="00F865B3"/>
    <w:rPr>
      <w:color w:val="0000FF"/>
      <w:u w:val="single"/>
    </w:rPr>
  </w:style>
  <w:style w:type="character" w:styleId="aa">
    <w:name w:val="Unresolved Mention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8653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2652</CharactersWithSpaces>
  <SharedDoc>false</SharedDoc>
  <HLinks>
    <vt:vector size="6" baseType="variant">
      <vt:variant>
        <vt:i4>5963809</vt:i4>
      </vt:variant>
      <vt:variant>
        <vt:i4>0</vt:i4>
      </vt:variant>
      <vt:variant>
        <vt:i4>0</vt:i4>
      </vt:variant>
      <vt:variant>
        <vt:i4>5</vt:i4>
      </vt:variant>
      <vt:variant>
        <vt:lpwstr>mailto:pavel.proshin@skoltech.com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Proshin</dc:creator>
  <cp:lastModifiedBy>Иван Chernoukhov</cp:lastModifiedBy>
  <cp:revision>4</cp:revision>
  <dcterms:created xsi:type="dcterms:W3CDTF">2024-03-21T11:25:00Z</dcterms:created>
  <dcterms:modified xsi:type="dcterms:W3CDTF">2024-03-21T11:26:00Z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