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F383" w14:textId="77777777" w:rsidR="00767601" w:rsidRDefault="00000000" w:rsidP="00BE66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газочувствительных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наночастиц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YCoO</w:t>
      </w:r>
      <w:proofErr w:type="spell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допированных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ионами стронция</w:t>
      </w:r>
    </w:p>
    <w:p w14:paraId="5571C773" w14:textId="77777777" w:rsidR="00767601" w:rsidRDefault="00000000" w:rsidP="00BE66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Паршина А.С.</w:t>
      </w:r>
    </w:p>
    <w:p w14:paraId="08FD5EF9" w14:textId="77777777" w:rsidR="00767601" w:rsidRDefault="00000000" w:rsidP="00BE66A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Аспирант, 2 год обучения</w:t>
      </w:r>
    </w:p>
    <w:p w14:paraId="7B3121EA" w14:textId="77777777" w:rsidR="00767601" w:rsidRDefault="00000000" w:rsidP="00BE66A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Воронежский государственный университет, Воронеж, Россия</w:t>
      </w:r>
    </w:p>
    <w:p w14:paraId="26EEF556" w14:textId="32E82F5C" w:rsidR="00767601" w:rsidRPr="00C32BB4" w:rsidRDefault="0000000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C32BB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C32B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parshina</w:t>
        </w:r>
        <w:r w:rsidRPr="00C32BB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_</w:t>
        </w:r>
        <w:r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as</w:t>
        </w:r>
        <w:r w:rsidRPr="00C32BB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@</w:t>
        </w:r>
        <w:r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nlmk</w:t>
        </w:r>
        <w:r w:rsidRPr="00C32BB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.</w:t>
        </w:r>
        <w:r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com</w:t>
        </w:r>
      </w:hyperlink>
    </w:p>
    <w:p w14:paraId="3846AA4D" w14:textId="77777777" w:rsidR="00767601" w:rsidRDefault="00000000" w:rsidP="00BE66A2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последнее время исследователей привлекают сложные оксиды со структурой перовскита и химической формулой ABO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 качестве материалов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газочувствительных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сенсоров [1]. Механизм действия полупроводниковых сенсоров заключается в изменении сопротивления в результате взаимодействия хемосорбированного кислорода на поверхности с молекулами детектируемых газов [2]. Именно поэтому целью данной работы является получение нанопорошков системы Y–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 – O со структурой перовскита и составом ABO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 заданными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газочувствительными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свойствами,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катионами Sr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для повышения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газочувствительных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свойств.</w:t>
      </w:r>
    </w:p>
    <w:p w14:paraId="0A001F72" w14:textId="113782BE" w:rsidR="00767601" w:rsidRPr="00BE66A2" w:rsidRDefault="00C32BB4" w:rsidP="00BE66A2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0F86A289" wp14:editId="33FBAB08">
            <wp:simplePos x="0" y="0"/>
            <wp:positionH relativeFrom="margin">
              <wp:posOffset>760095</wp:posOffset>
            </wp:positionH>
            <wp:positionV relativeFrom="paragraph">
              <wp:posOffset>1824460</wp:posOffset>
            </wp:positionV>
            <wp:extent cx="4312285" cy="234696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BE66A2">
        <w:rPr>
          <w:rFonts w:ascii="Times New Roman" w:hAnsi="Times New Roman" w:cs="Times New Roman"/>
          <w:color w:val="000000"/>
          <w:sz w:val="24"/>
          <w:szCs w:val="24"/>
        </w:rPr>
        <w:t xml:space="preserve">Синтез осуществлялся при помощи золь-гель метода, условия отжига: 900 </w:t>
      </w:r>
      <w:proofErr w:type="spellStart"/>
      <w:r w:rsidR="00000000" w:rsidRPr="00BE66A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="00000000" w:rsidRPr="00BE66A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r w:rsidR="00000000" w:rsidRPr="00BE66A2">
        <w:rPr>
          <w:rFonts w:ascii="Times New Roman" w:hAnsi="Times New Roman" w:cs="Times New Roman"/>
          <w:color w:val="000000"/>
          <w:sz w:val="24"/>
          <w:szCs w:val="24"/>
        </w:rPr>
        <w:t xml:space="preserve">, 24 часа. По результатам РФА образцы </w:t>
      </w:r>
      <w:proofErr w:type="spellStart"/>
      <w:r w:rsidR="00000000" w:rsidRPr="00BE66A2">
        <w:rPr>
          <w:rFonts w:ascii="Times New Roman" w:hAnsi="Times New Roman" w:cs="Times New Roman"/>
          <w:color w:val="000000"/>
          <w:sz w:val="24"/>
          <w:szCs w:val="24"/>
        </w:rPr>
        <w:t>кобальтита</w:t>
      </w:r>
      <w:proofErr w:type="spellEnd"/>
      <w:r w:rsidR="00000000" w:rsidRPr="00BE66A2">
        <w:rPr>
          <w:rFonts w:ascii="Times New Roman" w:hAnsi="Times New Roman" w:cs="Times New Roman"/>
          <w:color w:val="000000"/>
          <w:sz w:val="24"/>
          <w:szCs w:val="24"/>
        </w:rPr>
        <w:t xml:space="preserve"> иттрия номинального состава </w:t>
      </w:r>
      <w:r w:rsidR="00000000" w:rsidRPr="00BE66A2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="00000000" w:rsidRPr="00BE66A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1-x</w:t>
      </w:r>
      <w:r w:rsidR="00000000" w:rsidRPr="00BE66A2">
        <w:rPr>
          <w:rFonts w:ascii="Times New Roman" w:hAnsi="Times New Roman" w:cs="Times New Roman"/>
          <w:color w:val="000000"/>
          <w:sz w:val="24"/>
          <w:szCs w:val="24"/>
          <w:lang w:val="en-US"/>
        </w:rPr>
        <w:t>Sr</w:t>
      </w:r>
      <w:r w:rsidR="00000000" w:rsidRPr="00BE66A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x</w:t>
      </w:r>
      <w:r w:rsidR="00000000" w:rsidRPr="00BE66A2">
        <w:rPr>
          <w:rFonts w:ascii="Times New Roman" w:hAnsi="Times New Roman" w:cs="Times New Roman"/>
          <w:color w:val="000000"/>
          <w:sz w:val="24"/>
          <w:szCs w:val="24"/>
          <w:lang w:val="en-US"/>
        </w:rPr>
        <w:t>Co</w:t>
      </w:r>
      <w:r w:rsidR="00000000" w:rsidRPr="00BE66A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0000" w:rsidRPr="00BE66A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000000" w:rsidRPr="00BE66A2">
        <w:rPr>
          <w:rFonts w:ascii="Times New Roman" w:hAnsi="Times New Roman" w:cs="Times New Roman"/>
          <w:color w:val="000000"/>
          <w:sz w:val="24"/>
          <w:szCs w:val="24"/>
        </w:rPr>
        <w:t xml:space="preserve"> (х = 0; 0.05; 0.10; 0.15) содержат преимущественно целевую фазу с небольшими примесями оксида иттрия (</w:t>
      </w:r>
      <w:r w:rsidR="00000000" w:rsidRPr="00BE66A2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="00000000" w:rsidRPr="00BE66A2">
        <w:rPr>
          <w:rFonts w:ascii="Times New Roman" w:hAnsi="Times New Roman" w:cs="Times New Roman"/>
          <w:color w:val="000000"/>
          <w:sz w:val="24"/>
          <w:szCs w:val="24"/>
        </w:rPr>
        <w:t>) и оксида кобальта (</w:t>
      </w:r>
      <w:r w:rsidR="00000000" w:rsidRPr="00BE66A2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000000" w:rsidRPr="00BE66A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000000" w:rsidRPr="00BE66A2">
        <w:rPr>
          <w:rFonts w:ascii="Times New Roman" w:hAnsi="Times New Roman"/>
          <w:color w:val="000000"/>
          <w:sz w:val="24"/>
          <w:szCs w:val="24"/>
        </w:rPr>
        <w:t xml:space="preserve">Анализ данных элементного состава образцов демонстрирует реальное увеличение содержания ионами </w:t>
      </w:r>
      <w:r w:rsidR="00000000" w:rsidRPr="00BE66A2">
        <w:rPr>
          <w:rFonts w:ascii="Times New Roman" w:hAnsi="Times New Roman"/>
          <w:color w:val="000000"/>
          <w:kern w:val="24"/>
          <w:sz w:val="24"/>
          <w:szCs w:val="24"/>
          <w:lang w:val="en-US"/>
        </w:rPr>
        <w:t>Sr</w:t>
      </w:r>
      <w:r w:rsidR="00000000" w:rsidRPr="00BE66A2">
        <w:rPr>
          <w:rFonts w:ascii="Times New Roman" w:hAnsi="Times New Roman"/>
          <w:color w:val="000000"/>
          <w:kern w:val="24"/>
          <w:sz w:val="24"/>
          <w:szCs w:val="24"/>
          <w:vertAlign w:val="superscript"/>
        </w:rPr>
        <w:t xml:space="preserve">2+ </w:t>
      </w:r>
      <w:r w:rsidR="00000000" w:rsidRPr="00BE66A2">
        <w:rPr>
          <w:rFonts w:ascii="Times New Roman" w:hAnsi="Times New Roman"/>
          <w:color w:val="000000"/>
          <w:sz w:val="24"/>
          <w:szCs w:val="24"/>
        </w:rPr>
        <w:t xml:space="preserve">при увеличении номинальной степени </w:t>
      </w:r>
      <w:proofErr w:type="spellStart"/>
      <w:r w:rsidR="00000000" w:rsidRPr="00BE66A2">
        <w:rPr>
          <w:rFonts w:ascii="Times New Roman" w:hAnsi="Times New Roman"/>
          <w:color w:val="000000"/>
          <w:sz w:val="24"/>
          <w:szCs w:val="24"/>
        </w:rPr>
        <w:t>допирования</w:t>
      </w:r>
      <w:proofErr w:type="spellEnd"/>
      <w:r w:rsidR="00000000" w:rsidRPr="00BE66A2">
        <w:rPr>
          <w:rFonts w:ascii="Times New Roman" w:hAnsi="Times New Roman"/>
          <w:color w:val="000000"/>
          <w:sz w:val="24"/>
          <w:szCs w:val="24"/>
        </w:rPr>
        <w:t xml:space="preserve">. Однако реальная степень </w:t>
      </w:r>
      <w:proofErr w:type="spellStart"/>
      <w:r w:rsidR="00000000" w:rsidRPr="00BE66A2">
        <w:rPr>
          <w:rFonts w:ascii="Times New Roman" w:hAnsi="Times New Roman"/>
          <w:color w:val="000000"/>
          <w:sz w:val="24"/>
          <w:szCs w:val="24"/>
        </w:rPr>
        <w:t>допирования</w:t>
      </w:r>
      <w:proofErr w:type="spellEnd"/>
      <w:r w:rsidR="00000000" w:rsidRPr="00BE66A2">
        <w:rPr>
          <w:rFonts w:ascii="Times New Roman" w:hAnsi="Times New Roman"/>
          <w:color w:val="000000"/>
          <w:sz w:val="24"/>
          <w:szCs w:val="24"/>
        </w:rPr>
        <w:t xml:space="preserve"> не соответствует заявленной, и максимальная степень достигает </w:t>
      </w:r>
      <w:r w:rsidR="00000000" w:rsidRPr="00BE66A2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proofErr w:type="gramStart"/>
      <w:r w:rsidR="00000000" w:rsidRPr="00BE66A2">
        <w:rPr>
          <w:rFonts w:ascii="Times New Roman" w:hAnsi="Times New Roman"/>
          <w:color w:val="000000"/>
          <w:sz w:val="24"/>
          <w:szCs w:val="24"/>
          <w:vertAlign w:val="subscript"/>
        </w:rPr>
        <w:t>реал.=</w:t>
      </w:r>
      <w:proofErr w:type="gramEnd"/>
      <w:r w:rsidR="00000000" w:rsidRPr="00BE66A2">
        <w:rPr>
          <w:rFonts w:ascii="Times New Roman" w:hAnsi="Times New Roman"/>
          <w:color w:val="000000"/>
          <w:sz w:val="24"/>
          <w:szCs w:val="24"/>
        </w:rPr>
        <w:t xml:space="preserve">0.06. </w:t>
      </w:r>
      <w:r w:rsidR="00000000" w:rsidRPr="00BE66A2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исследования </w:t>
      </w:r>
      <w:proofErr w:type="spellStart"/>
      <w:r w:rsidR="00000000" w:rsidRPr="00BE66A2">
        <w:rPr>
          <w:rFonts w:ascii="Times New Roman" w:hAnsi="Times New Roman" w:cs="Times New Roman"/>
          <w:color w:val="000000"/>
          <w:sz w:val="24"/>
          <w:szCs w:val="24"/>
        </w:rPr>
        <w:t>газочувствительных</w:t>
      </w:r>
      <w:proofErr w:type="spellEnd"/>
      <w:r w:rsidR="00000000" w:rsidRPr="00BE66A2">
        <w:rPr>
          <w:rFonts w:ascii="Times New Roman" w:hAnsi="Times New Roman" w:cs="Times New Roman"/>
          <w:color w:val="000000"/>
          <w:sz w:val="24"/>
          <w:szCs w:val="24"/>
        </w:rPr>
        <w:t xml:space="preserve"> свойств было установлено, что синтезированные образцы проявляют хороший сенсорный отклик на угарный газ (рис.1.) при концентрации 50 </w:t>
      </w:r>
      <w:r w:rsidR="00000000" w:rsidRPr="00BE66A2">
        <w:rPr>
          <w:rFonts w:ascii="Times New Roman" w:hAnsi="Times New Roman" w:cs="Times New Roman"/>
          <w:color w:val="000000"/>
          <w:sz w:val="24"/>
          <w:szCs w:val="24"/>
          <w:lang w:val="en-US"/>
        </w:rPr>
        <w:t>ppm</w:t>
      </w:r>
      <w:r w:rsidR="00000000" w:rsidRPr="00BE66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7D1D76D" w14:textId="3D3E11A4" w:rsidR="00767601" w:rsidRDefault="00000000" w:rsidP="00BE66A2">
      <w:pPr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</w:t>
      </w:r>
      <w:r w:rsidRPr="00C32BB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Сенсорный отклик (2.3) нанопорошков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  <w:vertAlign w:val="subscript"/>
        </w:rPr>
        <w:t>1-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Sr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CoO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синтезированных золь-гель методом, в присутствии СО (50 </w:t>
      </w:r>
      <w:r>
        <w:rPr>
          <w:rFonts w:ascii="Times New Roman" w:hAnsi="Times New Roman" w:cs="Times New Roman"/>
          <w:sz w:val="24"/>
          <w:szCs w:val="24"/>
          <w:lang w:val="en-US"/>
        </w:rPr>
        <w:t>ppm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8425B38" w14:textId="5BE93F10" w:rsidR="00767601" w:rsidRDefault="00000000" w:rsidP="00BE6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34B25F77" w14:textId="6F716661" w:rsidR="00767601" w:rsidRPr="00BE66A2" w:rsidRDefault="00BE66A2" w:rsidP="00BE66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000000" w:rsidRPr="00BE66A2">
        <w:rPr>
          <w:rFonts w:ascii="Times New Roman" w:hAnsi="Times New Roman"/>
          <w:sz w:val="24"/>
          <w:szCs w:val="24"/>
          <w:lang w:val="en-US"/>
        </w:rPr>
        <w:t>Jeffrey W. Fergus. Perovskite oxides for semiconductor-based gas sensors / Jeffrey W. Fergus // Sensors and Actuators B. 2007. V. 123. P. 1169-1179.</w:t>
      </w:r>
    </w:p>
    <w:p w14:paraId="7EB0D788" w14:textId="1679AE9B" w:rsidR="00BE66A2" w:rsidRPr="00C32BB4" w:rsidRDefault="00BE66A2" w:rsidP="00BE6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 xml:space="preserve">2. </w:t>
      </w:r>
      <w:r w:rsidR="00000000" w:rsidRPr="00BE66A2">
        <w:rPr>
          <w:rFonts w:ascii="Times New Roman" w:hAnsi="Times New Roman"/>
          <w:iCs/>
          <w:sz w:val="24"/>
          <w:szCs w:val="24"/>
          <w:lang w:val="en-US"/>
        </w:rPr>
        <w:t>Beale A. M.</w:t>
      </w:r>
      <w:r w:rsidR="00000000" w:rsidRPr="00BE66A2">
        <w:rPr>
          <w:rFonts w:ascii="Times New Roman" w:hAnsi="Times New Roman"/>
          <w:sz w:val="24"/>
          <w:szCs w:val="24"/>
          <w:lang w:val="en-US"/>
        </w:rPr>
        <w:t xml:space="preserve"> Combined experimental and computational modelling studies of the solubility of nickel in strontium titanate / </w:t>
      </w:r>
      <w:r w:rsidR="00000000" w:rsidRPr="00BE66A2">
        <w:rPr>
          <w:rFonts w:ascii="Times New Roman" w:hAnsi="Times New Roman"/>
          <w:iCs/>
          <w:sz w:val="24"/>
          <w:szCs w:val="24"/>
          <w:lang w:val="en-US"/>
        </w:rPr>
        <w:t xml:space="preserve">Beale A. M., Paul M., Sankar G., Oldman R. J., Catlow C. R. A. </w:t>
      </w:r>
      <w:r w:rsidR="00000000" w:rsidRPr="00BE66A2">
        <w:rPr>
          <w:rFonts w:ascii="Times New Roman" w:hAnsi="Times New Roman"/>
          <w:sz w:val="24"/>
          <w:szCs w:val="24"/>
          <w:lang w:val="en-US"/>
        </w:rPr>
        <w:t>French S., Fowles M.// J. Mater. Chem. 2009. V. 19. P</w:t>
      </w:r>
      <w:r w:rsidR="00000000" w:rsidRPr="00C32BB4">
        <w:rPr>
          <w:rFonts w:ascii="Times New Roman" w:hAnsi="Times New Roman"/>
          <w:sz w:val="24"/>
          <w:szCs w:val="24"/>
        </w:rPr>
        <w:t>. 4391-4400.</w:t>
      </w:r>
    </w:p>
    <w:sectPr w:rsidR="00BE66A2" w:rsidRPr="00C32BB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7AA3" w14:textId="77777777" w:rsidR="00867B86" w:rsidRDefault="00867B86">
      <w:pPr>
        <w:spacing w:line="240" w:lineRule="auto"/>
      </w:pPr>
      <w:r>
        <w:separator/>
      </w:r>
    </w:p>
  </w:endnote>
  <w:endnote w:type="continuationSeparator" w:id="0">
    <w:p w14:paraId="438DA0DE" w14:textId="77777777" w:rsidR="00867B86" w:rsidRDefault="00867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632E" w14:textId="77777777" w:rsidR="00867B86" w:rsidRDefault="00867B86">
      <w:pPr>
        <w:spacing w:after="0"/>
      </w:pPr>
      <w:r>
        <w:separator/>
      </w:r>
    </w:p>
  </w:footnote>
  <w:footnote w:type="continuationSeparator" w:id="0">
    <w:p w14:paraId="5FD25585" w14:textId="77777777" w:rsidR="00867B86" w:rsidRDefault="00867B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120A1"/>
    <w:multiLevelType w:val="multilevel"/>
    <w:tmpl w:val="3F6120A1"/>
    <w:lvl w:ilvl="0">
      <w:start w:val="1"/>
      <w:numFmt w:val="decimal"/>
      <w:lvlText w:val="%1."/>
      <w:lvlJc w:val="left"/>
      <w:pPr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num w:numId="1" w16cid:durableId="2104916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B01"/>
    <w:rsid w:val="00242A6D"/>
    <w:rsid w:val="002D41A5"/>
    <w:rsid w:val="00304E5B"/>
    <w:rsid w:val="003B4B01"/>
    <w:rsid w:val="004C7975"/>
    <w:rsid w:val="0062289F"/>
    <w:rsid w:val="00767601"/>
    <w:rsid w:val="007E58E2"/>
    <w:rsid w:val="00867B86"/>
    <w:rsid w:val="009C6705"/>
    <w:rsid w:val="00BE66A2"/>
    <w:rsid w:val="00C32BB4"/>
    <w:rsid w:val="00D23FB8"/>
    <w:rsid w:val="00F520D5"/>
    <w:rsid w:val="00FB20A0"/>
    <w:rsid w:val="00FC4ABA"/>
    <w:rsid w:val="619B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5CB3E"/>
  <w15:docId w15:val="{3BDE753C-A8E3-4EDB-9F6E-64475D52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spacing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arshina_as@nlm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Company>Krokoz™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Паршина Анна Сергеевна</dc:creator>
  <cp:lastModifiedBy>Иван Chernoukhov</cp:lastModifiedBy>
  <cp:revision>4</cp:revision>
  <dcterms:created xsi:type="dcterms:W3CDTF">2024-03-20T11:09:00Z</dcterms:created>
  <dcterms:modified xsi:type="dcterms:W3CDTF">2024-03-20T11:10:00Z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6DD20AFFBBF645F1B56C109FCEBEAC68_12</vt:lpwstr>
  </property>
</Properties>
</file>