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0703" w14:textId="77777777" w:rsidR="007428F7" w:rsidRDefault="00742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428F7">
        <w:rPr>
          <w:b/>
          <w:color w:val="000000"/>
        </w:rPr>
        <w:t>Фазово-структурное состояние сплавов τ-</w:t>
      </w:r>
      <w:proofErr w:type="gramStart"/>
      <w:r w:rsidRPr="007428F7">
        <w:rPr>
          <w:b/>
          <w:color w:val="000000"/>
        </w:rPr>
        <w:t>MnAl(</w:t>
      </w:r>
      <w:proofErr w:type="gramEnd"/>
      <w:r w:rsidRPr="007428F7">
        <w:rPr>
          <w:b/>
          <w:color w:val="000000"/>
        </w:rPr>
        <w:t>Ga), полученных при различных скоростях охлаждения</w:t>
      </w:r>
    </w:p>
    <w:p w14:paraId="00000002" w14:textId="35FEDB8F" w:rsidR="00130241" w:rsidRPr="004E242D" w:rsidRDefault="00742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Важинский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Фортуна А.С., Горшенков М.В., Нечаев К.С.</w:t>
      </w:r>
      <w:r w:rsidR="004E242D">
        <w:rPr>
          <w:b/>
          <w:i/>
          <w:color w:val="000000"/>
        </w:rPr>
        <w:t>, Морозова Т.А.</w:t>
      </w:r>
    </w:p>
    <w:p w14:paraId="6CFBDA51" w14:textId="77777777" w:rsidR="005B3A2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7428F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428F7">
        <w:rPr>
          <w:i/>
          <w:color w:val="000000"/>
        </w:rPr>
        <w:t>магистратуры</w:t>
      </w:r>
    </w:p>
    <w:p w14:paraId="00000007" w14:textId="7DB5B9F5" w:rsidR="00130241" w:rsidRDefault="007428F7" w:rsidP="00742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МИСИС</w:t>
      </w:r>
      <w:r w:rsidR="00EB1F49">
        <w:rPr>
          <w:i/>
          <w:color w:val="000000"/>
        </w:rPr>
        <w:t>, </w:t>
      </w:r>
      <w:r w:rsidR="005B3A27">
        <w:rPr>
          <w:color w:val="000000"/>
        </w:rPr>
        <w:br/>
      </w:r>
      <w:r>
        <w:rPr>
          <w:i/>
          <w:color w:val="000000"/>
        </w:rPr>
        <w:t>институт новых материалов</w:t>
      </w:r>
      <w:r w:rsidR="00EB1F49">
        <w:rPr>
          <w:i/>
          <w:color w:val="000000"/>
        </w:rPr>
        <w:t>, Москва, Россия</w:t>
      </w:r>
    </w:p>
    <w:p w14:paraId="4312ADAC" w14:textId="77777777" w:rsidR="005B3A27" w:rsidRPr="005B3A27" w:rsidRDefault="005B3A27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B3A27">
        <w:rPr>
          <w:i/>
          <w:color w:val="000000"/>
          <w:u w:val="single"/>
          <w:lang w:val="en-US"/>
        </w:rPr>
        <w:t>nikita_vazhinskiy@mail.ru</w:t>
      </w:r>
    </w:p>
    <w:p w14:paraId="3DB8B972" w14:textId="3FABF63F" w:rsidR="008876B5" w:rsidRPr="005B3A27" w:rsidRDefault="0078246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3A27">
        <w:rPr>
          <w:color w:val="000000"/>
        </w:rPr>
        <w:t>Возрастающее применение электрических машин в различных областях формирует запрос на новые магнитные материалы со свойствами, конкурирующими с магнитотвердыми гексаферритами, когда речь идет как о производительности, так и о массе конечного изделия. Сплавы системы Mn-Al, со структурой ферромагнитной τ-фазы (структурный тип L1</w:t>
      </w:r>
      <w:r w:rsidRPr="005B3A27">
        <w:rPr>
          <w:color w:val="000000"/>
          <w:vertAlign w:val="subscript"/>
        </w:rPr>
        <w:t>0</w:t>
      </w:r>
      <w:r w:rsidRPr="005B3A27">
        <w:rPr>
          <w:color w:val="000000"/>
        </w:rPr>
        <w:t>, пространственная группа P4/mmm), имеющей намагниченность I</w:t>
      </w:r>
      <w:r w:rsidRPr="005B3A27">
        <w:rPr>
          <w:color w:val="000000"/>
          <w:vertAlign w:val="subscript"/>
        </w:rPr>
        <w:t>s</w:t>
      </w:r>
      <w:r w:rsidRPr="005B3A27">
        <w:rPr>
          <w:color w:val="000000"/>
        </w:rPr>
        <w:t> = 600 кА/м, константу магнитокристаллической анизотропии K</w:t>
      </w:r>
      <w:r w:rsidRPr="005B3A27">
        <w:rPr>
          <w:color w:val="000000"/>
          <w:vertAlign w:val="subscript"/>
        </w:rPr>
        <w:t>1</w:t>
      </w:r>
      <w:r w:rsidRPr="005B3A27">
        <w:rPr>
          <w:color w:val="000000"/>
        </w:rPr>
        <w:t xml:space="preserve"> = 1,7×10</w:t>
      </w:r>
      <w:r w:rsidRPr="005B3A27">
        <w:rPr>
          <w:color w:val="000000"/>
          <w:vertAlign w:val="superscript"/>
        </w:rPr>
        <w:t>6</w:t>
      </w:r>
      <w:r w:rsidRPr="005B3A27">
        <w:rPr>
          <w:color w:val="000000"/>
        </w:rPr>
        <w:t xml:space="preserve"> МДж/м</w:t>
      </w:r>
      <w:r w:rsidRPr="005B3A27">
        <w:rPr>
          <w:color w:val="000000"/>
          <w:vertAlign w:val="superscript"/>
        </w:rPr>
        <w:t>3</w:t>
      </w:r>
      <w:r w:rsidRPr="005B3A27">
        <w:rPr>
          <w:color w:val="000000"/>
        </w:rPr>
        <w:t>, T</w:t>
      </w:r>
      <w:r w:rsidRPr="005B3A27">
        <w:rPr>
          <w:color w:val="000000"/>
          <w:vertAlign w:val="subscript"/>
        </w:rPr>
        <w:t>C</w:t>
      </w:r>
      <w:r w:rsidRPr="005B3A27">
        <w:rPr>
          <w:color w:val="000000"/>
        </w:rPr>
        <w:t> =</w:t>
      </w:r>
      <w:r w:rsidR="004F2BD2" w:rsidRPr="005B3A27">
        <w:rPr>
          <w:color w:val="000000"/>
          <w:lang w:val="en-US"/>
        </w:rPr>
        <w:t> </w:t>
      </w:r>
      <w:r w:rsidRPr="005B3A27">
        <w:rPr>
          <w:color w:val="000000"/>
        </w:rPr>
        <w:t>650 K и потенциальное значение максимального магнитного произведения (BH)</w:t>
      </w:r>
      <w:r w:rsidRPr="005B3A27">
        <w:rPr>
          <w:color w:val="000000"/>
          <w:vertAlign w:val="subscript"/>
        </w:rPr>
        <w:t>max</w:t>
      </w:r>
      <w:r w:rsidRPr="005B3A27">
        <w:rPr>
          <w:color w:val="000000"/>
        </w:rPr>
        <w:t> ≈ 112 кДж/м</w:t>
      </w:r>
      <w:r w:rsidRPr="005B3A27">
        <w:rPr>
          <w:color w:val="000000"/>
          <w:vertAlign w:val="superscript"/>
        </w:rPr>
        <w:t>3</w:t>
      </w:r>
      <w:r w:rsidRPr="005B3A27">
        <w:rPr>
          <w:color w:val="000000"/>
        </w:rPr>
        <w:t xml:space="preserve"> [1], представляют интерес с точки зрения использования в элементах электрических машин. Однако свойства имеющихся магнитов на основе</w:t>
      </w:r>
      <w:r w:rsidR="004F2BD2" w:rsidRPr="005B3A27">
        <w:rPr>
          <w:color w:val="000000"/>
        </w:rPr>
        <w:t xml:space="preserve"> </w:t>
      </w:r>
      <w:r w:rsidRPr="005B3A27">
        <w:rPr>
          <w:color w:val="000000"/>
        </w:rPr>
        <w:t>τ-MnAl далеки от теоретического значения, определяющего возможности коммерческого их использования, что обусловлено в первую очередь недостаточной термической стабильностью ферромагнитной фазы, затрудняющей их обработку [</w:t>
      </w:r>
      <w:r w:rsidR="008876B5" w:rsidRPr="005B3A27">
        <w:rPr>
          <w:color w:val="000000"/>
        </w:rPr>
        <w:t>2</w:t>
      </w:r>
      <w:r w:rsidRPr="005B3A27">
        <w:rPr>
          <w:color w:val="000000"/>
        </w:rPr>
        <w:t>].</w:t>
      </w:r>
    </w:p>
    <w:p w14:paraId="3FEA1D1E" w14:textId="054EC1DF" w:rsidR="008876B5" w:rsidRDefault="008876B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Легирование сплавов τ-MnAl галлием позволяет повысить стабильность ферромагнитной фазы [</w:t>
      </w:r>
      <w:r w:rsidRPr="008876B5">
        <w:t>3</w:t>
      </w:r>
      <w:r>
        <w:t>,</w:t>
      </w:r>
      <w:r w:rsidRPr="004F2BD2">
        <w:t>4</w:t>
      </w:r>
      <w:r>
        <w:t xml:space="preserve">], без существенного снижения температуры Кюри и намагниченности насыщения. Целью данной работы являлось установление зависимостей фазового состава и магнитных свойств от скорости охлаждения при получении ферромагнитных сплавов </w:t>
      </w:r>
      <w:proofErr w:type="gramStart"/>
      <w:r>
        <w:rPr>
          <w:lang w:val="en-US"/>
        </w:rPr>
        <w:t>MnAl</w:t>
      </w:r>
      <w:r w:rsidRPr="008876B5">
        <w:t>(</w:t>
      </w:r>
      <w:proofErr w:type="gramEnd"/>
      <w:r>
        <w:rPr>
          <w:lang w:val="en-US"/>
        </w:rPr>
        <w:t>Ga</w:t>
      </w:r>
      <w:r w:rsidRPr="008876B5">
        <w:t>)</w:t>
      </w:r>
      <w:r>
        <w:t>.</w:t>
      </w:r>
    </w:p>
    <w:p w14:paraId="2E28313F" w14:textId="77777777" w:rsidR="005B3A27" w:rsidRDefault="008876B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876B5">
        <w:t>Сплав номинального состава Mn</w:t>
      </w:r>
      <w:r w:rsidRPr="008876B5">
        <w:rPr>
          <w:vertAlign w:val="subscript"/>
        </w:rPr>
        <w:t>55</w:t>
      </w:r>
      <w:r w:rsidRPr="008876B5">
        <w:t>Al</w:t>
      </w:r>
      <w:r w:rsidRPr="008876B5">
        <w:rPr>
          <w:vertAlign w:val="subscript"/>
        </w:rPr>
        <w:t>36</w:t>
      </w:r>
      <w:r w:rsidRPr="008876B5">
        <w:t>Ga</w:t>
      </w:r>
      <w:r w:rsidRPr="008876B5">
        <w:rPr>
          <w:vertAlign w:val="subscript"/>
        </w:rPr>
        <w:t>9</w:t>
      </w:r>
      <w:r w:rsidRPr="008876B5">
        <w:t xml:space="preserve"> был получен 4 различными способами, обеспечивающими разную скорость охлаждения. Два объемных образца были получены индукционной плавкой с последующей закалкой в воду от температуры гомогенизирующего отжига 1100 ºС: один помещался в воду внутри запаянной кварцевой ампулы, а другой закаливался непосредственно в воду. Другие два образца были получены путем закалки из жидкого состояния на медное колесо, вращающееся при линейной скорости 10 м/с и 40 м/с, в виде лент. Таким образом были получены образцы, закаленные с различной скоростью. На этих образцах были установлены закономерности фазовых переходов, протекающих при нагреве, выявлены различия между закономерностями в случае объёмных и быстрозакалённых образцов. На основании полученных данных выдвинуто предположение, что фазовый переход γ</w:t>
      </w:r>
      <w:r w:rsidRPr="008876B5">
        <w:rPr>
          <w:vertAlign w:val="subscript"/>
        </w:rPr>
        <w:t>2</w:t>
      </w:r>
      <w:r w:rsidRPr="008876B5">
        <w:t>→τ имеет черты массивного превращения. Измерены магнитные гистерезисные свойства быстрозакалённых лент. Показана высокая термическая стабильность быстрозакалённых лент, легированных галлием.</w:t>
      </w:r>
    </w:p>
    <w:p w14:paraId="022FC08C" w14:textId="7DCEF40A" w:rsidR="00A02163" w:rsidRDefault="004F2BD2" w:rsidP="004F2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F2BD2">
        <w:rPr>
          <w:i/>
          <w:iCs/>
          <w:color w:val="000000"/>
        </w:rPr>
        <w:t>Работа выполнена при поддержке гранта РНФ 23-13-00161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7A335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0CBA42C" w14:textId="14D9D244" w:rsidR="008876B5" w:rsidRPr="008876B5" w:rsidRDefault="008876B5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876B5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8876B5">
        <w:rPr>
          <w:color w:val="000000"/>
          <w:lang w:val="en-US"/>
        </w:rPr>
        <w:t>Coey J.M.D. Permanent magnets: Plugging the gap // Scripta Materialia. 2012. V. 67. P. 524–529.</w:t>
      </w:r>
    </w:p>
    <w:p w14:paraId="3F65E3BB" w14:textId="2BFCBE8C" w:rsidR="008876B5" w:rsidRPr="008876B5" w:rsidRDefault="008876B5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8876B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8876B5">
        <w:rPr>
          <w:color w:val="000000"/>
          <w:lang w:val="en-US"/>
        </w:rPr>
        <w:t>Zhao S., Wu Y., Zhang C., Wang J., Fu Z., Zhang R., Jiang C. Stabilization of t-phase in carbon-doped MnAl magnetic alloys // Journal of Alloys and Compounds. 2018. V. 755. P. 257–264.</w:t>
      </w:r>
    </w:p>
    <w:p w14:paraId="42DE5C2B" w14:textId="3136361E" w:rsidR="008876B5" w:rsidRPr="008876B5" w:rsidRDefault="008876B5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8876B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8876B5">
        <w:rPr>
          <w:color w:val="000000"/>
          <w:lang w:val="en-US"/>
        </w:rPr>
        <w:t>Mix T., Bittner F., Müller K.-H. Schultz L., Woodcock T.G. Alloying with a few atomic percent of Ga makes MnAl thermodynamically stable // Acta Materialia. 2017. V.128. P. 160–165.</w:t>
      </w:r>
    </w:p>
    <w:p w14:paraId="3486C755" w14:textId="724BA380" w:rsidR="00116478" w:rsidRPr="007A3350" w:rsidRDefault="008876B5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4</w:t>
      </w:r>
      <w:r w:rsidRPr="008876B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8876B5">
        <w:rPr>
          <w:color w:val="000000"/>
          <w:lang w:val="en-US"/>
        </w:rPr>
        <w:t xml:space="preserve">Mix T., Woodcock T.G. Advanced thermal stability investigations of the Mn–Al-Ga system // Results in Materials. </w:t>
      </w:r>
      <w:r w:rsidRPr="007A3350">
        <w:rPr>
          <w:color w:val="000000"/>
        </w:rPr>
        <w:t xml:space="preserve">2020. </w:t>
      </w:r>
      <w:r w:rsidRPr="008876B5">
        <w:rPr>
          <w:color w:val="000000"/>
          <w:lang w:val="en-US"/>
        </w:rPr>
        <w:t>V</w:t>
      </w:r>
      <w:r w:rsidRPr="007A3350">
        <w:rPr>
          <w:color w:val="000000"/>
        </w:rPr>
        <w:t xml:space="preserve">.5. 100068. </w:t>
      </w:r>
      <w:r w:rsidRPr="008876B5">
        <w:rPr>
          <w:color w:val="000000"/>
          <w:lang w:val="en-US"/>
        </w:rPr>
        <w:t>P</w:t>
      </w:r>
      <w:r w:rsidRPr="007A3350">
        <w:rPr>
          <w:color w:val="000000"/>
        </w:rPr>
        <w:t>. 1–4.</w:t>
      </w:r>
    </w:p>
    <w:sectPr w:rsidR="00116478" w:rsidRPr="007A33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003"/>
    <w:multiLevelType w:val="hybridMultilevel"/>
    <w:tmpl w:val="F7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E43DD"/>
    <w:multiLevelType w:val="hybridMultilevel"/>
    <w:tmpl w:val="A8A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672485561">
    <w:abstractNumId w:val="1"/>
  </w:num>
  <w:num w:numId="4" w16cid:durableId="159412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636C"/>
    <w:rsid w:val="0031361E"/>
    <w:rsid w:val="00391C38"/>
    <w:rsid w:val="003B76D6"/>
    <w:rsid w:val="00420BA3"/>
    <w:rsid w:val="00495E3C"/>
    <w:rsid w:val="004A26A3"/>
    <w:rsid w:val="004E242D"/>
    <w:rsid w:val="004F0EDF"/>
    <w:rsid w:val="004F2BD2"/>
    <w:rsid w:val="00522BF1"/>
    <w:rsid w:val="00590166"/>
    <w:rsid w:val="005B3A27"/>
    <w:rsid w:val="005D022B"/>
    <w:rsid w:val="005E5BE9"/>
    <w:rsid w:val="0069427D"/>
    <w:rsid w:val="006F7A19"/>
    <w:rsid w:val="007213E1"/>
    <w:rsid w:val="007428F7"/>
    <w:rsid w:val="00775389"/>
    <w:rsid w:val="0078246A"/>
    <w:rsid w:val="00797838"/>
    <w:rsid w:val="007A3350"/>
    <w:rsid w:val="007C36D8"/>
    <w:rsid w:val="007F2744"/>
    <w:rsid w:val="008876B5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Важинский</dc:creator>
  <cp:lastModifiedBy>Иван Chernoukhov</cp:lastModifiedBy>
  <cp:revision>5</cp:revision>
  <dcterms:created xsi:type="dcterms:W3CDTF">2024-03-18T23:46:00Z</dcterms:created>
  <dcterms:modified xsi:type="dcterms:W3CDTF">2024-03-18T23:48:00Z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