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1C3F" w14:textId="4302A498" w:rsidR="00974D66" w:rsidRDefault="00974D66" w:rsidP="00974D6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кода заговоров от кровотечения и ран в восточнославянской традиции </w:t>
      </w:r>
    </w:p>
    <w:p w14:paraId="6AC25240" w14:textId="59D7443A" w:rsidR="00974D66" w:rsidRDefault="00974D66" w:rsidP="00974D6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Загайнова Дарья Олеговна </w:t>
      </w:r>
    </w:p>
    <w:p w14:paraId="54435A67" w14:textId="21F839E2" w:rsidR="00616FA9" w:rsidRDefault="00974D66" w:rsidP="00B7193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974D66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74D6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74D6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4D66">
        <w:rPr>
          <w:rFonts w:ascii="Times New Roman" w:hAnsi="Times New Roman" w:cs="Times New Roman"/>
          <w:sz w:val="24"/>
          <w:szCs w:val="24"/>
        </w:rPr>
        <w:t xml:space="preserve"> им. М.В. Ломоносова</w:t>
      </w:r>
      <w:r>
        <w:rPr>
          <w:rFonts w:ascii="Times New Roman" w:hAnsi="Times New Roman" w:cs="Times New Roman"/>
          <w:sz w:val="24"/>
          <w:szCs w:val="24"/>
        </w:rPr>
        <w:t xml:space="preserve">, Москва, Россия </w:t>
      </w:r>
    </w:p>
    <w:p w14:paraId="5EC6114D" w14:textId="78D973B2" w:rsidR="00B71938" w:rsidRDefault="00B71938" w:rsidP="004743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нашей работы лежит восприятие заговора как сложной системы «кодов», которую В. И. Харитонова называет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-заклинательным актом (ЗЗА) </w:t>
      </w:r>
      <w:r w:rsidRPr="00B71938">
        <w:rPr>
          <w:rFonts w:ascii="Times New Roman" w:hAnsi="Times New Roman" w:cs="Times New Roman"/>
          <w:sz w:val="24"/>
          <w:szCs w:val="24"/>
        </w:rPr>
        <w:t>[Харитонова 1999</w:t>
      </w:r>
      <w:r w:rsidR="00514C60" w:rsidRPr="00514C60">
        <w:rPr>
          <w:rFonts w:ascii="Times New Roman" w:hAnsi="Times New Roman" w:cs="Times New Roman"/>
          <w:sz w:val="24"/>
          <w:szCs w:val="24"/>
        </w:rPr>
        <w:t>:</w:t>
      </w:r>
      <w:r w:rsidR="00514C60">
        <w:rPr>
          <w:rFonts w:ascii="Times New Roman" w:hAnsi="Times New Roman" w:cs="Times New Roman"/>
          <w:sz w:val="24"/>
          <w:szCs w:val="24"/>
        </w:rPr>
        <w:t xml:space="preserve"> 293</w:t>
      </w:r>
      <w:r w:rsidRPr="00B71938">
        <w:rPr>
          <w:rFonts w:ascii="Times New Roman" w:hAnsi="Times New Roman" w:cs="Times New Roman"/>
          <w:sz w:val="24"/>
          <w:szCs w:val="24"/>
        </w:rPr>
        <w:t>]</w:t>
      </w:r>
      <w:r w:rsidR="007639FF">
        <w:rPr>
          <w:rFonts w:ascii="Times New Roman" w:hAnsi="Times New Roman" w:cs="Times New Roman"/>
          <w:sz w:val="24"/>
          <w:szCs w:val="24"/>
        </w:rPr>
        <w:t>. Его</w:t>
      </w:r>
      <w:r>
        <w:rPr>
          <w:rFonts w:ascii="Times New Roman" w:hAnsi="Times New Roman" w:cs="Times New Roman"/>
          <w:sz w:val="24"/>
          <w:szCs w:val="24"/>
        </w:rPr>
        <w:t xml:space="preserve"> центральной част</w:t>
      </w:r>
      <w:r w:rsidR="000B3570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является непосредственно произносимый ритуальным специалистом текст. </w:t>
      </w:r>
      <w:r w:rsidR="00A05976">
        <w:rPr>
          <w:rFonts w:ascii="Times New Roman" w:hAnsi="Times New Roman" w:cs="Times New Roman"/>
          <w:sz w:val="24"/>
          <w:szCs w:val="24"/>
        </w:rPr>
        <w:t xml:space="preserve">Все «коды» ЗЗА связаны между собой семантически, логически и </w:t>
      </w:r>
      <w:proofErr w:type="spellStart"/>
      <w:r w:rsidR="00A05976">
        <w:rPr>
          <w:rFonts w:ascii="Times New Roman" w:hAnsi="Times New Roman" w:cs="Times New Roman"/>
          <w:sz w:val="24"/>
          <w:szCs w:val="24"/>
        </w:rPr>
        <w:t>ассициативно</w:t>
      </w:r>
      <w:proofErr w:type="spellEnd"/>
      <w:r w:rsidR="000B3570">
        <w:rPr>
          <w:rFonts w:ascii="Times New Roman" w:hAnsi="Times New Roman" w:cs="Times New Roman"/>
          <w:sz w:val="24"/>
          <w:szCs w:val="24"/>
        </w:rPr>
        <w:t xml:space="preserve"> и призваны воздействовать на реальную действительность на разных уровнях для достижения желаемого результата. Статус и функции всех компонентов ЗЗА могут быть адекватно восприняты только при их комплексном анализе</w:t>
      </w:r>
      <w:r w:rsidR="004743CA">
        <w:rPr>
          <w:rFonts w:ascii="Times New Roman" w:hAnsi="Times New Roman" w:cs="Times New Roman"/>
          <w:sz w:val="24"/>
          <w:szCs w:val="24"/>
        </w:rPr>
        <w:t>, что</w:t>
      </w:r>
      <w:r w:rsidR="007639FF">
        <w:rPr>
          <w:rFonts w:ascii="Times New Roman" w:hAnsi="Times New Roman" w:cs="Times New Roman"/>
          <w:sz w:val="24"/>
          <w:szCs w:val="24"/>
        </w:rPr>
        <w:t>,</w:t>
      </w:r>
      <w:r w:rsidR="004743CA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7639FF">
        <w:rPr>
          <w:rFonts w:ascii="Times New Roman" w:hAnsi="Times New Roman" w:cs="Times New Roman"/>
          <w:sz w:val="24"/>
          <w:szCs w:val="24"/>
        </w:rPr>
        <w:t>,</w:t>
      </w:r>
      <w:r w:rsidR="004743CA">
        <w:rPr>
          <w:rFonts w:ascii="Times New Roman" w:hAnsi="Times New Roman" w:cs="Times New Roman"/>
          <w:sz w:val="24"/>
          <w:szCs w:val="24"/>
        </w:rPr>
        <w:t xml:space="preserve"> требует подробного описания каждого кода в отдельности.</w:t>
      </w:r>
      <w:r w:rsidR="000B3570">
        <w:rPr>
          <w:rFonts w:ascii="Times New Roman" w:hAnsi="Times New Roman" w:cs="Times New Roman"/>
          <w:sz w:val="24"/>
          <w:szCs w:val="24"/>
        </w:rPr>
        <w:t xml:space="preserve"> В этой работе мы бы хотели более подробно остановиться на </w:t>
      </w:r>
      <w:proofErr w:type="spellStart"/>
      <w:r w:rsidR="000B3570">
        <w:rPr>
          <w:rFonts w:ascii="Times New Roman" w:hAnsi="Times New Roman" w:cs="Times New Roman"/>
          <w:sz w:val="24"/>
          <w:szCs w:val="24"/>
        </w:rPr>
        <w:t>акциональном</w:t>
      </w:r>
      <w:proofErr w:type="spellEnd"/>
      <w:r w:rsidR="000B3570">
        <w:rPr>
          <w:rFonts w:ascii="Times New Roman" w:hAnsi="Times New Roman" w:cs="Times New Roman"/>
          <w:sz w:val="24"/>
          <w:szCs w:val="24"/>
        </w:rPr>
        <w:t xml:space="preserve"> коде заговоров от кровотечения и ран в восточнославянской традиции, т.</w:t>
      </w:r>
      <w:r w:rsidR="00CC37BB">
        <w:rPr>
          <w:rFonts w:ascii="Times New Roman" w:hAnsi="Times New Roman" w:cs="Times New Roman"/>
          <w:sz w:val="24"/>
          <w:szCs w:val="24"/>
        </w:rPr>
        <w:t>е</w:t>
      </w:r>
      <w:r w:rsidR="000B3570">
        <w:rPr>
          <w:rFonts w:ascii="Times New Roman" w:hAnsi="Times New Roman" w:cs="Times New Roman"/>
          <w:sz w:val="24"/>
          <w:szCs w:val="24"/>
        </w:rPr>
        <w:t xml:space="preserve">. на тех действиях, которыми сопровождается произнесение </w:t>
      </w:r>
      <w:r w:rsidR="00CC37BB">
        <w:rPr>
          <w:rFonts w:ascii="Times New Roman" w:hAnsi="Times New Roman" w:cs="Times New Roman"/>
          <w:sz w:val="24"/>
          <w:szCs w:val="24"/>
        </w:rPr>
        <w:t>магических текстов</w:t>
      </w:r>
      <w:r w:rsidR="000B3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58A62" w14:textId="342F9CEC" w:rsidR="004743CA" w:rsidRDefault="004743CA" w:rsidP="004743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материала для нашей работы выступают 370 заговоров </w:t>
      </w:r>
      <w:r w:rsidRPr="004743CA">
        <w:rPr>
          <w:rFonts w:ascii="Times New Roman" w:hAnsi="Times New Roman" w:cs="Times New Roman"/>
          <w:sz w:val="24"/>
          <w:szCs w:val="24"/>
        </w:rPr>
        <w:t>от кровотечения и ран, принадлежащих трём восточнославянским традициям (201 русских, 97 белорусских и 72 украинских заговора), извлеченны</w:t>
      </w:r>
      <w:r w:rsidR="007639FF">
        <w:rPr>
          <w:rFonts w:ascii="Times New Roman" w:hAnsi="Times New Roman" w:cs="Times New Roman"/>
          <w:sz w:val="24"/>
          <w:szCs w:val="24"/>
        </w:rPr>
        <w:t>х</w:t>
      </w:r>
      <w:r w:rsidRPr="004743CA">
        <w:rPr>
          <w:rFonts w:ascii="Times New Roman" w:hAnsi="Times New Roman" w:cs="Times New Roman"/>
          <w:sz w:val="24"/>
          <w:szCs w:val="24"/>
        </w:rPr>
        <w:t xml:space="preserve"> нами из разных источников – опубликованных и архивных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3CA">
        <w:rPr>
          <w:rFonts w:ascii="Times New Roman" w:hAnsi="Times New Roman" w:cs="Times New Roman"/>
          <w:sz w:val="24"/>
          <w:szCs w:val="24"/>
        </w:rPr>
        <w:t>(кафедры русского устного народного творчества филологического факультета МГУ и личного архива А. А. Ивановой).</w:t>
      </w:r>
    </w:p>
    <w:p w14:paraId="7197F0B6" w14:textId="75FD1EA5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 xml:space="preserve">С. М. Толстая выделяет три вида отношений между текстом и действием, вербальным и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акциональным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 xml:space="preserve"> кодами в обрядовом фольклоре [Толстая 1994</w:t>
      </w:r>
      <w:r w:rsidR="007639FF" w:rsidRPr="007639FF">
        <w:rPr>
          <w:rFonts w:ascii="Times New Roman" w:hAnsi="Times New Roman" w:cs="Times New Roman"/>
          <w:sz w:val="24"/>
          <w:szCs w:val="24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173]: </w:t>
      </w:r>
    </w:p>
    <w:p w14:paraId="6CFA6EAD" w14:textId="77777777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>1.</w:t>
      </w:r>
      <w:r w:rsidRPr="00CC37BB">
        <w:rPr>
          <w:rFonts w:ascii="Times New Roman" w:hAnsi="Times New Roman" w:cs="Times New Roman"/>
          <w:sz w:val="24"/>
          <w:szCs w:val="24"/>
        </w:rPr>
        <w:tab/>
        <w:t xml:space="preserve">Дублирование друг друга, когда текст полностью или почти полностью описывает действия персонажей. Ср.: </w:t>
      </w:r>
    </w:p>
    <w:p w14:paraId="5E74C6BA" w14:textId="3E98AC00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 xml:space="preserve">«Плаксин Алексей Федорович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заговаравал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 xml:space="preserve"> грыжу. Старушки загрызали. Он и кровь заговаривал. Перевяжет ниточкой шелковой и скажет: “Ниточка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тянися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 xml:space="preserve">, кровь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утянися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>”» [АКФ 1990</w:t>
      </w:r>
      <w:r w:rsidR="00BE46CD" w:rsidRPr="00BE46CD">
        <w:rPr>
          <w:rFonts w:ascii="Times New Roman" w:hAnsi="Times New Roman" w:cs="Times New Roman"/>
          <w:sz w:val="24"/>
          <w:szCs w:val="24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т. 29, № 16].</w:t>
      </w:r>
    </w:p>
    <w:p w14:paraId="40F8AC5B" w14:textId="77777777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>2.</w:t>
      </w:r>
      <w:r w:rsidRPr="00CC37BB">
        <w:rPr>
          <w:rFonts w:ascii="Times New Roman" w:hAnsi="Times New Roman" w:cs="Times New Roman"/>
          <w:sz w:val="24"/>
          <w:szCs w:val="24"/>
        </w:rPr>
        <w:tab/>
        <w:t xml:space="preserve">Отношения дополнительной дистрибуции, когда текст дополняет производимые действия. Ср.: </w:t>
      </w:r>
    </w:p>
    <w:p w14:paraId="1EF8F049" w14:textId="094D5ABF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>«Натри картошку. На тертую картошку или на маслице читай и рану намажь. “Шла девица, несла три ведра водицы. Водица пролилась – кровь унялась. Аминь”» [АКФ 1990</w:t>
      </w:r>
      <w:r w:rsidR="00BE46C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т. 29, № 44].</w:t>
      </w:r>
    </w:p>
    <w:p w14:paraId="4F26D019" w14:textId="77777777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>3.</w:t>
      </w:r>
      <w:r w:rsidRPr="00CC37BB">
        <w:rPr>
          <w:rFonts w:ascii="Times New Roman" w:hAnsi="Times New Roman" w:cs="Times New Roman"/>
          <w:sz w:val="24"/>
          <w:szCs w:val="24"/>
        </w:rPr>
        <w:tab/>
        <w:t xml:space="preserve">Интерпретация, когда текст объясняет поведение персонажей. Ср.: </w:t>
      </w:r>
    </w:p>
    <w:p w14:paraId="1F0A3609" w14:textId="28A1D0F0" w:rsidR="00CC37BB" w:rsidRP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 xml:space="preserve">«Кровь так же остановить можно. Очерти, когда порежешь, мизинцем правой руки и говори: “Я, раба Божия (имярек), очерчиваю у рабы Божьей (имярек). Как заря утренняя, вечерняя истекает-потухает, так и у рабы Божьей (имярек) кровь иссохни-потухни, не боли, не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можжи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 xml:space="preserve"> ни одна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костка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>, ни одна жилка, ни одна шерстинка, ни одна соринка. Аминь. Аминь. Аминь”. Три раза» [АКФ 1994</w:t>
      </w:r>
      <w:r w:rsidR="00BE46C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т. 34, № 284]. </w:t>
      </w:r>
    </w:p>
    <w:p w14:paraId="03237820" w14:textId="58CD4FEB" w:rsidR="00CC37BB" w:rsidRDefault="00CC37BB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7BB">
        <w:rPr>
          <w:rFonts w:ascii="Times New Roman" w:hAnsi="Times New Roman" w:cs="Times New Roman"/>
          <w:sz w:val="24"/>
          <w:szCs w:val="24"/>
        </w:rPr>
        <w:t>При этом сами действия можно разделить на чисто магические, нередко работающие по ассоциативному признаку или продиктованные верой в магические числа, силы природы и пр., и народную медицину, основанную на наблюдениях и имеющую уже в наши дни научные обоснования. В. И. Харитонова считает, что в случае, если ритуальный специалист, чаще всего именно знахарь, делает основной упор на прикладную народную медицину, то тексты заговоров и весь обрядово-ритуальный комплекс может быть своего рода «палочкой-выручалочкой» для менее сильных знахарей или просто данью традиции [Харитонова 1999</w:t>
      </w:r>
      <w:r w:rsidR="007639FF" w:rsidRPr="007639FF">
        <w:rPr>
          <w:rFonts w:ascii="Times New Roman" w:hAnsi="Times New Roman" w:cs="Times New Roman"/>
          <w:sz w:val="24"/>
          <w:szCs w:val="24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90, 93]. Однако</w:t>
      </w:r>
      <w:r w:rsidR="00A74D6B">
        <w:rPr>
          <w:rFonts w:ascii="Times New Roman" w:hAnsi="Times New Roman" w:cs="Times New Roman"/>
          <w:sz w:val="24"/>
          <w:szCs w:val="24"/>
        </w:rPr>
        <w:t xml:space="preserve"> </w:t>
      </w:r>
      <w:r w:rsidRPr="00CC37BB">
        <w:rPr>
          <w:rFonts w:ascii="Times New Roman" w:hAnsi="Times New Roman" w:cs="Times New Roman"/>
          <w:sz w:val="24"/>
          <w:szCs w:val="24"/>
        </w:rPr>
        <w:t xml:space="preserve">приемы народной медицины могут быть объяснены не только их объективной полезностью с медицинской точки зрения, но и некими магическими свойствами разных предметов, жидкостей, растений. На тот факт, что приемы и средства лечения знахарей находятся в тесной связи с народными представлениями о магической природе болезней и волшебных свойствах </w:t>
      </w:r>
      <w:r w:rsidRPr="00CC37BB">
        <w:rPr>
          <w:rFonts w:ascii="Times New Roman" w:hAnsi="Times New Roman" w:cs="Times New Roman"/>
          <w:sz w:val="24"/>
          <w:szCs w:val="24"/>
        </w:rPr>
        <w:lastRenderedPageBreak/>
        <w:t>отдельных предметов и явлений, указывает в своей работе Г. И. Попов [Попов 1903</w:t>
      </w:r>
      <w:r w:rsidR="007639FF" w:rsidRPr="007639FF">
        <w:rPr>
          <w:rFonts w:ascii="Times New Roman" w:hAnsi="Times New Roman" w:cs="Times New Roman"/>
          <w:sz w:val="24"/>
          <w:szCs w:val="24"/>
        </w:rPr>
        <w:t>:</w:t>
      </w:r>
      <w:r w:rsidRPr="00CC37BB">
        <w:rPr>
          <w:rFonts w:ascii="Times New Roman" w:hAnsi="Times New Roman" w:cs="Times New Roman"/>
          <w:sz w:val="24"/>
          <w:szCs w:val="24"/>
        </w:rPr>
        <w:t xml:space="preserve"> 87].  Нередко действия первого и второго типа могут дополнять друг друга, усиливая весь </w:t>
      </w:r>
      <w:proofErr w:type="spellStart"/>
      <w:r w:rsidRPr="00CC37BB">
        <w:rPr>
          <w:rFonts w:ascii="Times New Roman" w:hAnsi="Times New Roman" w:cs="Times New Roman"/>
          <w:sz w:val="24"/>
          <w:szCs w:val="24"/>
        </w:rPr>
        <w:t>заговорно</w:t>
      </w:r>
      <w:proofErr w:type="spellEnd"/>
      <w:r w:rsidRPr="00CC37BB">
        <w:rPr>
          <w:rFonts w:ascii="Times New Roman" w:hAnsi="Times New Roman" w:cs="Times New Roman"/>
          <w:sz w:val="24"/>
          <w:szCs w:val="24"/>
        </w:rPr>
        <w:t>-заклинательный акт.</w:t>
      </w:r>
    </w:p>
    <w:p w14:paraId="504EBF17" w14:textId="50D1ED46" w:rsidR="00CF77AE" w:rsidRDefault="00CF77AE" w:rsidP="00CC37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7AE">
        <w:rPr>
          <w:rFonts w:ascii="Times New Roman" w:hAnsi="Times New Roman" w:cs="Times New Roman"/>
          <w:sz w:val="24"/>
          <w:szCs w:val="24"/>
        </w:rPr>
        <w:t xml:space="preserve">Таким образом, мы можем сказать, что </w:t>
      </w:r>
      <w:proofErr w:type="spellStart"/>
      <w:r w:rsidRPr="00CF77AE">
        <w:rPr>
          <w:rFonts w:ascii="Times New Roman" w:hAnsi="Times New Roman" w:cs="Times New Roman"/>
          <w:sz w:val="24"/>
          <w:szCs w:val="24"/>
        </w:rPr>
        <w:t>акциональный</w:t>
      </w:r>
      <w:proofErr w:type="spellEnd"/>
      <w:r w:rsidRPr="00CF77AE">
        <w:rPr>
          <w:rFonts w:ascii="Times New Roman" w:hAnsi="Times New Roman" w:cs="Times New Roman"/>
          <w:sz w:val="24"/>
          <w:szCs w:val="24"/>
        </w:rPr>
        <w:t xml:space="preserve"> код </w:t>
      </w:r>
      <w:r>
        <w:rPr>
          <w:rFonts w:ascii="Times New Roman" w:hAnsi="Times New Roman" w:cs="Times New Roman"/>
          <w:sz w:val="24"/>
          <w:szCs w:val="24"/>
        </w:rPr>
        <w:t xml:space="preserve">восточнославянских заговоров </w:t>
      </w:r>
      <w:r w:rsidRPr="00CF77AE">
        <w:rPr>
          <w:rFonts w:ascii="Times New Roman" w:hAnsi="Times New Roman" w:cs="Times New Roman"/>
          <w:sz w:val="24"/>
          <w:szCs w:val="24"/>
        </w:rPr>
        <w:t>от кровотечения и ран имеет множество вариантов воплощения, одна часть из которых будет свойственна только взятой нами группе заговоров, а другая – всей фольклорной традиции в целом. В отдельных случаях магические действия могут дополнять друг друга, усиливая тем самым воздействие на больного.</w:t>
      </w:r>
      <w:r w:rsidR="007C6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4E6B" w14:textId="77777777" w:rsidR="00CC37BB" w:rsidRDefault="00CC37BB" w:rsidP="004743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F2814" w14:textId="4A26F8D0" w:rsidR="004743CA" w:rsidRDefault="005232A2" w:rsidP="005232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14:paraId="6D935EE1" w14:textId="77777777" w:rsidR="00321E8B" w:rsidRDefault="00321E8B" w:rsidP="00D171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09">
        <w:rPr>
          <w:rFonts w:ascii="Times New Roman" w:hAnsi="Times New Roman" w:cs="Times New Roman"/>
          <w:sz w:val="24"/>
          <w:szCs w:val="24"/>
        </w:rPr>
        <w:t>АКФ – Архив кафедры русского устного народного творчества МГУ им. М. В. Ломоносова</w:t>
      </w:r>
    </w:p>
    <w:p w14:paraId="49ABBE65" w14:textId="77777777" w:rsidR="00321E8B" w:rsidRDefault="00321E8B" w:rsidP="00D171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09">
        <w:rPr>
          <w:rFonts w:ascii="Times New Roman" w:hAnsi="Times New Roman" w:cs="Times New Roman"/>
          <w:sz w:val="24"/>
          <w:szCs w:val="24"/>
        </w:rPr>
        <w:t>Попов 1903 – Попов Г. И. Русская народно-бытовая медицина. По материалам этнографического бюро князя В. Н. Тенишева. СПб., 1903.</w:t>
      </w:r>
    </w:p>
    <w:p w14:paraId="5CB40ED1" w14:textId="77777777" w:rsidR="00321E8B" w:rsidRDefault="00321E8B" w:rsidP="00D171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09">
        <w:rPr>
          <w:rFonts w:ascii="Times New Roman" w:hAnsi="Times New Roman" w:cs="Times New Roman"/>
          <w:sz w:val="24"/>
          <w:szCs w:val="24"/>
        </w:rPr>
        <w:t>Толстая 1994 – Толстая С. М. Вербальные ритуалы в славянской народной культуре // Логический анализ языка: Язык речевых действий. М., 1994. С. 172–177.</w:t>
      </w:r>
    </w:p>
    <w:p w14:paraId="02A957DF" w14:textId="77777777" w:rsidR="00321E8B" w:rsidRDefault="00321E8B" w:rsidP="00D171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09">
        <w:rPr>
          <w:rFonts w:ascii="Times New Roman" w:hAnsi="Times New Roman" w:cs="Times New Roman"/>
          <w:sz w:val="24"/>
          <w:szCs w:val="24"/>
        </w:rPr>
        <w:t xml:space="preserve">Харитонова 1999 – Харитонова В. И.  </w:t>
      </w:r>
      <w:proofErr w:type="spellStart"/>
      <w:r w:rsidRPr="00085D09">
        <w:rPr>
          <w:rFonts w:ascii="Times New Roman" w:hAnsi="Times New Roman" w:cs="Times New Roman"/>
          <w:sz w:val="24"/>
          <w:szCs w:val="24"/>
        </w:rPr>
        <w:t>Заговорно</w:t>
      </w:r>
      <w:proofErr w:type="spellEnd"/>
      <w:r w:rsidRPr="00085D09">
        <w:rPr>
          <w:rFonts w:ascii="Times New Roman" w:hAnsi="Times New Roman" w:cs="Times New Roman"/>
          <w:sz w:val="24"/>
          <w:szCs w:val="24"/>
        </w:rPr>
        <w:t>-заклинательное искусство восточных славян: проблемы традиционных исследований и возможности новых интерпретаций. Ч. 1–2. М., 1999.</w:t>
      </w:r>
    </w:p>
    <w:p w14:paraId="18EB7D17" w14:textId="77777777" w:rsidR="00085D09" w:rsidRPr="005232A2" w:rsidRDefault="00085D09" w:rsidP="00D171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5D09" w:rsidRPr="005232A2" w:rsidSect="004343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6"/>
    <w:rsid w:val="00085D09"/>
    <w:rsid w:val="000B3570"/>
    <w:rsid w:val="00321E8B"/>
    <w:rsid w:val="004343D9"/>
    <w:rsid w:val="004743CA"/>
    <w:rsid w:val="00514C60"/>
    <w:rsid w:val="005232A2"/>
    <w:rsid w:val="00616FA9"/>
    <w:rsid w:val="007639FF"/>
    <w:rsid w:val="007C6837"/>
    <w:rsid w:val="00974D66"/>
    <w:rsid w:val="00A05976"/>
    <w:rsid w:val="00A74D6B"/>
    <w:rsid w:val="00B71938"/>
    <w:rsid w:val="00B7291B"/>
    <w:rsid w:val="00BE46CD"/>
    <w:rsid w:val="00CC37BB"/>
    <w:rsid w:val="00CF77AE"/>
    <w:rsid w:val="00D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59F"/>
  <w15:chartTrackingRefBased/>
  <w15:docId w15:val="{6EDED887-99F9-42C0-B616-44616BC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загайнова</dc:creator>
  <cp:keywords/>
  <dc:description/>
  <cp:lastModifiedBy>дарья загайнова</cp:lastModifiedBy>
  <cp:revision>13</cp:revision>
  <dcterms:created xsi:type="dcterms:W3CDTF">2024-02-16T19:00:00Z</dcterms:created>
  <dcterms:modified xsi:type="dcterms:W3CDTF">2024-02-16T20:30:00Z</dcterms:modified>
</cp:coreProperties>
</file>