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9504" w14:textId="30C58096" w:rsidR="00280922" w:rsidRPr="00541181" w:rsidRDefault="002E260B" w:rsidP="0006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41181">
        <w:rPr>
          <w:rFonts w:ascii="Times New Roman" w:hAnsi="Times New Roman" w:cs="Times New Roman"/>
          <w:b/>
          <w:bCs/>
          <w:sz w:val="24"/>
          <w:szCs w:val="24"/>
        </w:rPr>
        <w:t>Лингвистические</w:t>
      </w:r>
      <w:r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541181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541181">
        <w:rPr>
          <w:rFonts w:ascii="Times New Roman" w:hAnsi="Times New Roman" w:cs="Times New Roman"/>
          <w:b/>
          <w:bCs/>
          <w:sz w:val="24"/>
          <w:szCs w:val="24"/>
        </w:rPr>
        <w:t>предвыборной</w:t>
      </w:r>
      <w:r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541181">
        <w:rPr>
          <w:rFonts w:ascii="Times New Roman" w:hAnsi="Times New Roman" w:cs="Times New Roman"/>
          <w:b/>
          <w:bCs/>
          <w:sz w:val="24"/>
          <w:szCs w:val="24"/>
        </w:rPr>
        <w:t>агитации</w:t>
      </w:r>
      <w:r w:rsidR="00C552B5"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на примере</w:t>
      </w:r>
      <w:r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552B5"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>Programma di Governo 2022 (Introduzione) della Lega Nord</w:t>
      </w:r>
      <w:r w:rsidR="00C552B5" w:rsidRPr="00541181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</w:p>
    <w:p w14:paraId="673C60AE" w14:textId="77777777" w:rsidR="002E260B" w:rsidRPr="00541181" w:rsidRDefault="002E260B" w:rsidP="00FF59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1181">
        <w:rPr>
          <w:rFonts w:ascii="Times New Roman" w:hAnsi="Times New Roman" w:cs="Times New Roman"/>
          <w:sz w:val="24"/>
          <w:szCs w:val="24"/>
        </w:rPr>
        <w:t>Ильина Екатерина Алексеевна</w:t>
      </w:r>
    </w:p>
    <w:p w14:paraId="71D0794C" w14:textId="411F4BBF" w:rsidR="002E260B" w:rsidRPr="00541181" w:rsidRDefault="002E260B" w:rsidP="0054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81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</w:t>
      </w:r>
      <w:r w:rsidR="00541181" w:rsidRPr="00541181">
        <w:rPr>
          <w:rFonts w:ascii="Times New Roman" w:hAnsi="Times New Roman" w:cs="Times New Roman"/>
          <w:sz w:val="24"/>
          <w:szCs w:val="24"/>
        </w:rPr>
        <w:t xml:space="preserve"> </w:t>
      </w:r>
      <w:r w:rsidRPr="00541181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41C1C0F9" w14:textId="110B9F02" w:rsidR="002E260B" w:rsidRPr="002E260B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0B">
        <w:rPr>
          <w:rFonts w:ascii="Times New Roman" w:hAnsi="Times New Roman" w:cs="Times New Roman"/>
          <w:sz w:val="24"/>
          <w:szCs w:val="24"/>
        </w:rPr>
        <w:t xml:space="preserve">В современной лингвистике </w:t>
      </w:r>
      <w:r w:rsidR="00C552B5">
        <w:rPr>
          <w:rFonts w:ascii="Times New Roman" w:hAnsi="Times New Roman" w:cs="Times New Roman"/>
          <w:sz w:val="24"/>
          <w:szCs w:val="24"/>
        </w:rPr>
        <w:t>наблюдается большой</w:t>
      </w:r>
      <w:r w:rsidRPr="002E260B">
        <w:rPr>
          <w:rFonts w:ascii="Times New Roman" w:hAnsi="Times New Roman" w:cs="Times New Roman"/>
          <w:sz w:val="24"/>
          <w:szCs w:val="24"/>
        </w:rPr>
        <w:t xml:space="preserve"> интерес к исследованию специализированного </w:t>
      </w:r>
      <w:r w:rsidR="00C552B5">
        <w:rPr>
          <w:rFonts w:ascii="Times New Roman" w:hAnsi="Times New Roman" w:cs="Times New Roman"/>
          <w:sz w:val="24"/>
          <w:szCs w:val="24"/>
        </w:rPr>
        <w:t>языка политики</w:t>
      </w:r>
      <w:r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C552B5">
        <w:rPr>
          <w:rFonts w:ascii="Times New Roman" w:hAnsi="Times New Roman" w:cs="Times New Roman"/>
          <w:sz w:val="24"/>
          <w:szCs w:val="24"/>
        </w:rPr>
        <w:t xml:space="preserve">частью которого является </w:t>
      </w:r>
      <w:r w:rsidRPr="002E260B">
        <w:rPr>
          <w:rFonts w:ascii="Times New Roman" w:hAnsi="Times New Roman" w:cs="Times New Roman"/>
          <w:sz w:val="24"/>
          <w:szCs w:val="24"/>
        </w:rPr>
        <w:t xml:space="preserve">предвыборный дискурс - разновидность политического дискурса, </w:t>
      </w:r>
      <w:r w:rsidR="00E44469">
        <w:rPr>
          <w:rFonts w:ascii="Times New Roman" w:hAnsi="Times New Roman" w:cs="Times New Roman"/>
          <w:sz w:val="24"/>
          <w:szCs w:val="24"/>
        </w:rPr>
        <w:t>реализующегося</w:t>
      </w:r>
      <w:r w:rsidRPr="002E260B">
        <w:rPr>
          <w:rFonts w:ascii="Times New Roman" w:hAnsi="Times New Roman" w:cs="Times New Roman"/>
          <w:sz w:val="24"/>
          <w:szCs w:val="24"/>
        </w:rPr>
        <w:t xml:space="preserve"> в политической ситуации, где интенция любого высказывания основывается на борьбе за власть. Он реализуется в контексте предвыборных кампаний в качестве коммуникативного акта между избираемым субъектом и избирателем. Обладая признаками политического дискурса, его внимание направлено, главным образом, на то, чтобы посредством убеждения спровоцировать на действие </w:t>
      </w:r>
      <w:r w:rsidR="008E0C10">
        <w:rPr>
          <w:rFonts w:ascii="Times New Roman" w:hAnsi="Times New Roman" w:cs="Times New Roman"/>
          <w:sz w:val="24"/>
          <w:szCs w:val="24"/>
        </w:rPr>
        <w:t>адресата</w:t>
      </w:r>
      <w:r w:rsidRPr="002E260B">
        <w:rPr>
          <w:rFonts w:ascii="Times New Roman" w:hAnsi="Times New Roman" w:cs="Times New Roman"/>
          <w:sz w:val="24"/>
          <w:szCs w:val="24"/>
        </w:rPr>
        <w:t>. </w:t>
      </w:r>
    </w:p>
    <w:p w14:paraId="4DE5E8B4" w14:textId="52E59AE1" w:rsidR="00C552B5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0B">
        <w:rPr>
          <w:rFonts w:ascii="Times New Roman" w:hAnsi="Times New Roman" w:cs="Times New Roman"/>
          <w:sz w:val="24"/>
          <w:szCs w:val="24"/>
        </w:rPr>
        <w:t>Концепция предвыборного дискурса</w:t>
      </w:r>
      <w:r w:rsidR="00C552B5">
        <w:rPr>
          <w:rFonts w:ascii="Times New Roman" w:hAnsi="Times New Roman" w:cs="Times New Roman"/>
          <w:sz w:val="24"/>
          <w:szCs w:val="24"/>
        </w:rPr>
        <w:t xml:space="preserve">, по мнению итальянского лингвиста М. </w:t>
      </w:r>
      <w:proofErr w:type="spellStart"/>
      <w:r w:rsidR="00C552B5">
        <w:rPr>
          <w:rFonts w:ascii="Times New Roman" w:hAnsi="Times New Roman" w:cs="Times New Roman"/>
          <w:sz w:val="24"/>
          <w:szCs w:val="24"/>
        </w:rPr>
        <w:t>Скварчоне</w:t>
      </w:r>
      <w:proofErr w:type="spellEnd"/>
      <w:r w:rsidR="00C552B5">
        <w:rPr>
          <w:rFonts w:ascii="Times New Roman" w:hAnsi="Times New Roman" w:cs="Times New Roman"/>
          <w:sz w:val="24"/>
          <w:szCs w:val="24"/>
        </w:rPr>
        <w:t>,</w:t>
      </w:r>
      <w:r w:rsidRPr="002E260B">
        <w:rPr>
          <w:rFonts w:ascii="Times New Roman" w:hAnsi="Times New Roman" w:cs="Times New Roman"/>
          <w:sz w:val="24"/>
          <w:szCs w:val="24"/>
        </w:rPr>
        <w:t xml:space="preserve"> исходит из концепции языка [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Squarcione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“Il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linguaggio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politico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verso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Terza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Repubblica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”], то есть для его исследования необходимо </w:t>
      </w:r>
      <w:r w:rsidR="00C552B5">
        <w:rPr>
          <w:rFonts w:ascii="Times New Roman" w:hAnsi="Times New Roman" w:cs="Times New Roman"/>
          <w:sz w:val="24"/>
          <w:szCs w:val="24"/>
        </w:rPr>
        <w:t>произвести</w:t>
      </w:r>
      <w:r w:rsidRPr="002E260B">
        <w:rPr>
          <w:rFonts w:ascii="Times New Roman" w:hAnsi="Times New Roman" w:cs="Times New Roman"/>
          <w:sz w:val="24"/>
          <w:szCs w:val="24"/>
        </w:rPr>
        <w:t xml:space="preserve"> анализ подобный </w:t>
      </w:r>
      <w:r w:rsidR="00C552B5">
        <w:rPr>
          <w:rFonts w:ascii="Times New Roman" w:hAnsi="Times New Roman" w:cs="Times New Roman"/>
          <w:sz w:val="24"/>
          <w:szCs w:val="24"/>
        </w:rPr>
        <w:t xml:space="preserve">анализу </w:t>
      </w:r>
      <w:r w:rsidRPr="002E260B">
        <w:rPr>
          <w:rFonts w:ascii="Times New Roman" w:hAnsi="Times New Roman" w:cs="Times New Roman"/>
          <w:sz w:val="24"/>
          <w:szCs w:val="24"/>
        </w:rPr>
        <w:t>любо</w:t>
      </w:r>
      <w:r w:rsidR="00C552B5">
        <w:rPr>
          <w:rFonts w:ascii="Times New Roman" w:hAnsi="Times New Roman" w:cs="Times New Roman"/>
          <w:sz w:val="24"/>
          <w:szCs w:val="24"/>
        </w:rPr>
        <w:t>го</w:t>
      </w:r>
      <w:r w:rsidRPr="002E260B">
        <w:rPr>
          <w:rFonts w:ascii="Times New Roman" w:hAnsi="Times New Roman" w:cs="Times New Roman"/>
          <w:sz w:val="24"/>
          <w:szCs w:val="24"/>
        </w:rPr>
        <w:t xml:space="preserve"> друго</w:t>
      </w:r>
      <w:r w:rsidR="00C552B5">
        <w:rPr>
          <w:rFonts w:ascii="Times New Roman" w:hAnsi="Times New Roman" w:cs="Times New Roman"/>
          <w:sz w:val="24"/>
          <w:szCs w:val="24"/>
        </w:rPr>
        <w:t>го</w:t>
      </w:r>
      <w:r w:rsidRPr="002E260B">
        <w:rPr>
          <w:rFonts w:ascii="Times New Roman" w:hAnsi="Times New Roman" w:cs="Times New Roman"/>
          <w:sz w:val="24"/>
          <w:szCs w:val="24"/>
        </w:rPr>
        <w:t xml:space="preserve"> речево</w:t>
      </w:r>
      <w:r w:rsidR="00C552B5">
        <w:rPr>
          <w:rFonts w:ascii="Times New Roman" w:hAnsi="Times New Roman" w:cs="Times New Roman"/>
          <w:sz w:val="24"/>
          <w:szCs w:val="24"/>
        </w:rPr>
        <w:t>го</w:t>
      </w:r>
      <w:r w:rsidRPr="002E260B">
        <w:rPr>
          <w:rFonts w:ascii="Times New Roman" w:hAnsi="Times New Roman" w:cs="Times New Roman"/>
          <w:sz w:val="24"/>
          <w:szCs w:val="24"/>
        </w:rPr>
        <w:t xml:space="preserve"> акт</w:t>
      </w:r>
      <w:r w:rsidR="00C552B5">
        <w:rPr>
          <w:rFonts w:ascii="Times New Roman" w:hAnsi="Times New Roman" w:cs="Times New Roman"/>
          <w:sz w:val="24"/>
          <w:szCs w:val="24"/>
        </w:rPr>
        <w:t>а</w:t>
      </w:r>
      <w:r w:rsidRPr="002E260B">
        <w:rPr>
          <w:rFonts w:ascii="Times New Roman" w:hAnsi="Times New Roman" w:cs="Times New Roman"/>
          <w:sz w:val="24"/>
          <w:szCs w:val="24"/>
        </w:rPr>
        <w:t>: рассмотреть три области лингвистики (прагматик</w:t>
      </w:r>
      <w:r w:rsidR="00C552B5">
        <w:rPr>
          <w:rFonts w:ascii="Times New Roman" w:hAnsi="Times New Roman" w:cs="Times New Roman"/>
          <w:sz w:val="24"/>
          <w:szCs w:val="24"/>
        </w:rPr>
        <w:t>у</w:t>
      </w:r>
      <w:r w:rsidRPr="002E260B">
        <w:rPr>
          <w:rFonts w:ascii="Times New Roman" w:hAnsi="Times New Roman" w:cs="Times New Roman"/>
          <w:sz w:val="24"/>
          <w:szCs w:val="24"/>
        </w:rPr>
        <w:t>, семантик</w:t>
      </w:r>
      <w:r w:rsidR="00C552B5">
        <w:rPr>
          <w:rFonts w:ascii="Times New Roman" w:hAnsi="Times New Roman" w:cs="Times New Roman"/>
          <w:sz w:val="24"/>
          <w:szCs w:val="24"/>
        </w:rPr>
        <w:t>у</w:t>
      </w:r>
      <w:r w:rsidRPr="002E260B">
        <w:rPr>
          <w:rFonts w:ascii="Times New Roman" w:hAnsi="Times New Roman" w:cs="Times New Roman"/>
          <w:sz w:val="24"/>
          <w:szCs w:val="24"/>
        </w:rPr>
        <w:t>, синтактик</w:t>
      </w:r>
      <w:r w:rsidR="00C552B5">
        <w:rPr>
          <w:rFonts w:ascii="Times New Roman" w:hAnsi="Times New Roman" w:cs="Times New Roman"/>
          <w:sz w:val="24"/>
          <w:szCs w:val="24"/>
        </w:rPr>
        <w:t>у</w:t>
      </w:r>
      <w:r w:rsidRPr="002E260B">
        <w:rPr>
          <w:rFonts w:ascii="Times New Roman" w:hAnsi="Times New Roman" w:cs="Times New Roman"/>
          <w:sz w:val="24"/>
          <w:szCs w:val="24"/>
        </w:rPr>
        <w:t xml:space="preserve">), фонетический уровень, стилистические приемы, средства выразительности. </w:t>
      </w:r>
    </w:p>
    <w:p w14:paraId="4BE58E3B" w14:textId="2E2B9046" w:rsidR="00AF25E5" w:rsidRDefault="00C552B5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E260B" w:rsidRPr="002E260B">
        <w:rPr>
          <w:rFonts w:ascii="Times New Roman" w:hAnsi="Times New Roman" w:cs="Times New Roman"/>
          <w:sz w:val="24"/>
          <w:szCs w:val="24"/>
        </w:rPr>
        <w:t>предвыборн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агитаци</w:t>
      </w:r>
      <w:r>
        <w:rPr>
          <w:rFonts w:ascii="Times New Roman" w:hAnsi="Times New Roman" w:cs="Times New Roman"/>
          <w:sz w:val="24"/>
          <w:szCs w:val="24"/>
        </w:rPr>
        <w:t>и могут быть выделены разнообразные жанры, имеющие свои специфические особенности. Так</w:t>
      </w:r>
      <w:r w:rsidR="00AF2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своей </w:t>
      </w:r>
      <w:r w:rsidR="002E260B" w:rsidRPr="002E260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 исследователь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О.К. Андрющенко [О.К. Андрющенко “Жанровое пространство предвыборного дискурса”] разделяет предвыборный дискурс на устные (предвыборные дебаты; реклама / рекламная речь; заявления, обращения к избирателям; интервью) и письменные</w:t>
      </w:r>
      <w:r w:rsidR="001B6C76">
        <w:rPr>
          <w:rFonts w:ascii="Times New Roman" w:hAnsi="Times New Roman" w:cs="Times New Roman"/>
          <w:sz w:val="24"/>
          <w:szCs w:val="24"/>
        </w:rPr>
        <w:t xml:space="preserve"> жанры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(листовка, спец бюллетень, предвыборная программа, биографии кандидатов, лозунги).</w:t>
      </w:r>
      <w:r w:rsidR="00AF25E5">
        <w:rPr>
          <w:rFonts w:ascii="Times New Roman" w:hAnsi="Times New Roman" w:cs="Times New Roman"/>
          <w:sz w:val="24"/>
          <w:szCs w:val="24"/>
        </w:rPr>
        <w:t xml:space="preserve"> 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Мы поставили перед собой задачу проанализировать лингвистические средства основного жанра, с которого начинается предвыборная агитация - предвыборную программу политического субъекта. </w:t>
      </w:r>
    </w:p>
    <w:p w14:paraId="5ADA725E" w14:textId="7BA2CD1C" w:rsidR="002E260B" w:rsidRPr="002E260B" w:rsidRDefault="00AF25E5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260B" w:rsidRPr="002E260B">
        <w:rPr>
          <w:rFonts w:ascii="Times New Roman" w:hAnsi="Times New Roman" w:cs="Times New Roman"/>
          <w:sz w:val="24"/>
          <w:szCs w:val="24"/>
        </w:rPr>
        <w:t>ля современной Италии характерна развитая многопартийная система</w:t>
      </w:r>
      <w:r>
        <w:rPr>
          <w:rFonts w:ascii="Times New Roman" w:hAnsi="Times New Roman" w:cs="Times New Roman"/>
          <w:sz w:val="24"/>
          <w:szCs w:val="24"/>
        </w:rPr>
        <w:t>. Большой поддержкой и симпатией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в стране</w:t>
      </w:r>
      <w:r>
        <w:rPr>
          <w:rFonts w:ascii="Times New Roman" w:hAnsi="Times New Roman" w:cs="Times New Roman"/>
          <w:sz w:val="24"/>
          <w:szCs w:val="24"/>
        </w:rPr>
        <w:t xml:space="preserve"> пользуется </w:t>
      </w:r>
      <w:r w:rsidR="002E260B" w:rsidRPr="002E260B">
        <w:rPr>
          <w:rFonts w:ascii="Times New Roman" w:hAnsi="Times New Roman" w:cs="Times New Roman"/>
          <w:sz w:val="24"/>
          <w:szCs w:val="24"/>
        </w:rPr>
        <w:t>консерват</w:t>
      </w:r>
      <w:r>
        <w:rPr>
          <w:rFonts w:ascii="Times New Roman" w:hAnsi="Times New Roman" w:cs="Times New Roman"/>
          <w:sz w:val="24"/>
          <w:szCs w:val="24"/>
        </w:rPr>
        <w:t xml:space="preserve">ивная партия </w:t>
      </w:r>
      <w:proofErr w:type="spellStart"/>
      <w:r w:rsidR="002E260B" w:rsidRPr="002E260B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2E260B" w:rsidRPr="002E260B">
        <w:rPr>
          <w:rFonts w:ascii="Times New Roman" w:hAnsi="Times New Roman" w:cs="Times New Roman"/>
          <w:sz w:val="24"/>
          <w:szCs w:val="24"/>
        </w:rPr>
        <w:t xml:space="preserve"> Nord</w:t>
      </w:r>
      <w:r>
        <w:rPr>
          <w:rFonts w:ascii="Times New Roman" w:hAnsi="Times New Roman" w:cs="Times New Roman"/>
          <w:sz w:val="24"/>
          <w:szCs w:val="24"/>
        </w:rPr>
        <w:t>, чью предвыборную программу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(“Введение”), опубликованн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в период выборов в парламент 2022 года [</w:t>
      </w:r>
      <w:hyperlink r:id="rId6" w:history="1">
        <w:r w:rsidR="002E260B" w:rsidRPr="002E260B">
          <w:rPr>
            <w:rStyle w:val="a3"/>
            <w:rFonts w:ascii="Times New Roman" w:hAnsi="Times New Roman" w:cs="Times New Roman"/>
            <w:sz w:val="24"/>
            <w:szCs w:val="24"/>
          </w:rPr>
          <w:t>Programma_Lega_2022.pdf (legaonline.it)</w:t>
        </w:r>
      </w:hyperlink>
      <w:r w:rsidR="002E260B" w:rsidRPr="002E26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мы решили выбрать в качестве материала нашего исследования. </w:t>
      </w:r>
    </w:p>
    <w:p w14:paraId="0252667C" w14:textId="2E324CA2" w:rsidR="00BB0138" w:rsidRPr="002E260B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0B">
        <w:rPr>
          <w:rFonts w:ascii="Times New Roman" w:hAnsi="Times New Roman" w:cs="Times New Roman"/>
          <w:sz w:val="24"/>
          <w:szCs w:val="24"/>
        </w:rPr>
        <w:t>В ходе работы были выявлены следующие лингвистические средства предвыборной агитации: </w:t>
      </w:r>
    </w:p>
    <w:p w14:paraId="13CC2F8A" w14:textId="3E30659B" w:rsidR="002E260B" w:rsidRPr="007D5B9E" w:rsidRDefault="002E260B" w:rsidP="00C862E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E">
        <w:rPr>
          <w:rFonts w:ascii="Times New Roman" w:hAnsi="Times New Roman" w:cs="Times New Roman"/>
          <w:sz w:val="24"/>
          <w:szCs w:val="24"/>
          <w:u w:val="single"/>
        </w:rPr>
        <w:t>Анафора</w:t>
      </w:r>
    </w:p>
    <w:p w14:paraId="50FB4558" w14:textId="77777777" w:rsidR="007D5B9E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  <w:t>“Tante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norme,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  <w:t>tante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procedure,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  <w:t>tante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contraddizioni e conseguenti “interpretazioni...”</w:t>
      </w:r>
      <w:r w:rsidRPr="00C552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E260B">
        <w:rPr>
          <w:rFonts w:ascii="Times New Roman" w:hAnsi="Times New Roman" w:cs="Times New Roman"/>
          <w:sz w:val="24"/>
          <w:szCs w:val="24"/>
        </w:rPr>
        <w:t>(“Множество норм, множество процедур, множество противоречий и, как следствие, “интерпретаций...”)</w:t>
      </w:r>
      <w:r w:rsidR="001B6C76">
        <w:rPr>
          <w:rFonts w:ascii="Times New Roman" w:hAnsi="Times New Roman" w:cs="Times New Roman"/>
          <w:sz w:val="24"/>
          <w:szCs w:val="24"/>
        </w:rPr>
        <w:t xml:space="preserve">. </w:t>
      </w:r>
      <w:r w:rsidRPr="002E260B">
        <w:rPr>
          <w:rFonts w:ascii="Times New Roman" w:hAnsi="Times New Roman" w:cs="Times New Roman"/>
          <w:sz w:val="24"/>
          <w:szCs w:val="24"/>
        </w:rPr>
        <w:t>На синтаксическом уровне повторение слова с семантикой излишества заостряет внимание избирателя на проблеме административного устройства страны, косвенно убеждая в значимости сказанного.</w:t>
      </w:r>
    </w:p>
    <w:p w14:paraId="519C3C0E" w14:textId="6801343B" w:rsidR="00BB0138" w:rsidRPr="007D5B9E" w:rsidRDefault="00AF25E5" w:rsidP="00C862E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фразеологизмов </w:t>
      </w:r>
    </w:p>
    <w:p w14:paraId="2BABFD7D" w14:textId="5D4A9245" w:rsidR="007D5B9E" w:rsidRPr="00C552B5" w:rsidRDefault="00BB0138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25E5">
        <w:rPr>
          <w:rFonts w:ascii="Times New Roman" w:hAnsi="Times New Roman" w:cs="Times New Roman"/>
          <w:i/>
          <w:iCs/>
          <w:sz w:val="24"/>
          <w:szCs w:val="24"/>
        </w:rPr>
        <w:t>«…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chiedendo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allo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Stato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solo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di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poter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lavorare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senza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avere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>continuamente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</w:t>
      </w:r>
      <w:r w:rsidRPr="00AF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bastoni</w:t>
      </w:r>
      <w:r w:rsidRPr="00AF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tra</w:t>
      </w:r>
      <w:r w:rsidRPr="00AF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le</w:t>
      </w:r>
      <w:r w:rsidRPr="00AF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52B5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ruote</w:t>
      </w:r>
      <w:r w:rsidRPr="00AF25E5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(«… прося у государства только возможность работать</w:t>
      </w:r>
      <w:r w:rsidRPr="00BB0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оно постоянно не вставляло палки в колёса»). </w:t>
      </w:r>
      <w:r w:rsidR="00AF25E5">
        <w:rPr>
          <w:rFonts w:ascii="Times New Roman" w:hAnsi="Times New Roman" w:cs="Times New Roman"/>
          <w:sz w:val="24"/>
          <w:szCs w:val="24"/>
        </w:rPr>
        <w:t>Идиома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mettere</w:t>
      </w:r>
      <w:proofErr w:type="spellEnd"/>
      <w:r w:rsidRPr="0049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DB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9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bastoni</w:t>
      </w:r>
      <w:proofErr w:type="spellEnd"/>
      <w:r w:rsidRPr="0049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</w:t>
      </w:r>
      <w:proofErr w:type="spellEnd"/>
      <w:r w:rsidRPr="0049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49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route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0DB3">
        <w:rPr>
          <w:rFonts w:ascii="Times New Roman" w:hAnsi="Times New Roman" w:cs="Times New Roman"/>
          <w:sz w:val="24"/>
          <w:szCs w:val="24"/>
        </w:rPr>
        <w:t xml:space="preserve"> в контексте предвыборной программы</w:t>
      </w:r>
      <w:r w:rsidR="00490DB3" w:rsidRPr="00490DB3">
        <w:rPr>
          <w:rFonts w:ascii="Times New Roman" w:hAnsi="Times New Roman" w:cs="Times New Roman"/>
          <w:sz w:val="24"/>
          <w:szCs w:val="24"/>
        </w:rPr>
        <w:t xml:space="preserve"> </w:t>
      </w:r>
      <w:r w:rsidR="00490DB3">
        <w:rPr>
          <w:rFonts w:ascii="Times New Roman" w:hAnsi="Times New Roman" w:cs="Times New Roman"/>
          <w:sz w:val="24"/>
          <w:szCs w:val="24"/>
        </w:rPr>
        <w:t>означает</w:t>
      </w:r>
      <w:r w:rsidR="007D5B9E">
        <w:rPr>
          <w:rFonts w:ascii="Times New Roman" w:hAnsi="Times New Roman" w:cs="Times New Roman"/>
          <w:sz w:val="24"/>
          <w:szCs w:val="24"/>
        </w:rPr>
        <w:t xml:space="preserve"> создание препятствий</w:t>
      </w:r>
      <w:r w:rsidR="00490DB3">
        <w:rPr>
          <w:rFonts w:ascii="Times New Roman" w:hAnsi="Times New Roman" w:cs="Times New Roman"/>
          <w:sz w:val="24"/>
          <w:szCs w:val="24"/>
        </w:rPr>
        <w:t xml:space="preserve"> и даёт представление о государстве и гражданине не взаимодействующих друг с другом, а наоборот</w:t>
      </w:r>
      <w:r w:rsidR="007D5B9E">
        <w:rPr>
          <w:rFonts w:ascii="Times New Roman" w:hAnsi="Times New Roman" w:cs="Times New Roman"/>
          <w:sz w:val="24"/>
          <w:szCs w:val="24"/>
        </w:rPr>
        <w:t>,</w:t>
      </w:r>
      <w:r w:rsidR="00490DB3">
        <w:rPr>
          <w:rFonts w:ascii="Times New Roman" w:hAnsi="Times New Roman" w:cs="Times New Roman"/>
          <w:sz w:val="24"/>
          <w:szCs w:val="24"/>
        </w:rPr>
        <w:t xml:space="preserve"> </w:t>
      </w:r>
      <w:r w:rsidR="007D5B9E">
        <w:rPr>
          <w:rFonts w:ascii="Times New Roman" w:hAnsi="Times New Roman" w:cs="Times New Roman"/>
          <w:sz w:val="24"/>
          <w:szCs w:val="24"/>
        </w:rPr>
        <w:t xml:space="preserve">он </w:t>
      </w:r>
      <w:r w:rsidR="00490DB3">
        <w:rPr>
          <w:rFonts w:ascii="Times New Roman" w:hAnsi="Times New Roman" w:cs="Times New Roman"/>
          <w:sz w:val="24"/>
          <w:szCs w:val="24"/>
        </w:rPr>
        <w:t xml:space="preserve">отчуждает гражданина от политического института, который обладает большей властью и использует её </w:t>
      </w:r>
      <w:r w:rsidR="007D5B9E">
        <w:rPr>
          <w:rFonts w:ascii="Times New Roman" w:hAnsi="Times New Roman" w:cs="Times New Roman"/>
          <w:sz w:val="24"/>
          <w:szCs w:val="24"/>
        </w:rPr>
        <w:t>в целях навредить гражданину. Такое значение усиливается наречием «</w:t>
      </w:r>
      <w:proofErr w:type="spellStart"/>
      <w:r w:rsidR="007D5B9E">
        <w:rPr>
          <w:rFonts w:ascii="Times New Roman" w:hAnsi="Times New Roman" w:cs="Times New Roman"/>
          <w:sz w:val="24"/>
          <w:szCs w:val="24"/>
          <w:lang w:val="en-US"/>
        </w:rPr>
        <w:t>continuamente</w:t>
      </w:r>
      <w:proofErr w:type="spellEnd"/>
      <w:r w:rsidR="007D5B9E">
        <w:rPr>
          <w:rFonts w:ascii="Times New Roman" w:hAnsi="Times New Roman" w:cs="Times New Roman"/>
          <w:sz w:val="24"/>
          <w:szCs w:val="24"/>
        </w:rPr>
        <w:t>»</w:t>
      </w:r>
      <w:r w:rsidR="007D5B9E" w:rsidRPr="007D5B9E">
        <w:rPr>
          <w:rFonts w:ascii="Times New Roman" w:hAnsi="Times New Roman" w:cs="Times New Roman"/>
          <w:sz w:val="24"/>
          <w:szCs w:val="24"/>
        </w:rPr>
        <w:t xml:space="preserve">. </w:t>
      </w:r>
      <w:r w:rsidR="007D5B9E">
        <w:rPr>
          <w:rFonts w:ascii="Times New Roman" w:hAnsi="Times New Roman" w:cs="Times New Roman"/>
          <w:sz w:val="24"/>
          <w:szCs w:val="24"/>
        </w:rPr>
        <w:t xml:space="preserve">Но в то же время партия показывает себя как субъекта, не принадлежащего политическому институту государства, понимающего своего адресата и возмущающегося вместе с ним. Это происходит за счет использования идиомы </w:t>
      </w:r>
      <w:r w:rsidR="007D5B9E">
        <w:rPr>
          <w:rFonts w:ascii="Times New Roman" w:hAnsi="Times New Roman" w:cs="Times New Roman"/>
          <w:sz w:val="24"/>
          <w:szCs w:val="24"/>
        </w:rPr>
        <w:lastRenderedPageBreak/>
        <w:t>«неполитического» характера</w:t>
      </w:r>
      <w:r w:rsidR="00764F3E">
        <w:rPr>
          <w:rFonts w:ascii="Times New Roman" w:hAnsi="Times New Roman" w:cs="Times New Roman"/>
          <w:sz w:val="24"/>
          <w:szCs w:val="24"/>
        </w:rPr>
        <w:t>, которая делает текст</w:t>
      </w:r>
      <w:r w:rsidR="007D5B9E">
        <w:rPr>
          <w:rFonts w:ascii="Times New Roman" w:hAnsi="Times New Roman" w:cs="Times New Roman"/>
          <w:sz w:val="24"/>
          <w:szCs w:val="24"/>
        </w:rPr>
        <w:t xml:space="preserve"> более знаком</w:t>
      </w:r>
      <w:r w:rsidR="00764F3E">
        <w:rPr>
          <w:rFonts w:ascii="Times New Roman" w:hAnsi="Times New Roman" w:cs="Times New Roman"/>
          <w:sz w:val="24"/>
          <w:szCs w:val="24"/>
        </w:rPr>
        <w:t>ым</w:t>
      </w:r>
      <w:r w:rsidR="007D5B9E">
        <w:rPr>
          <w:rFonts w:ascii="Times New Roman" w:hAnsi="Times New Roman" w:cs="Times New Roman"/>
          <w:sz w:val="24"/>
          <w:szCs w:val="24"/>
        </w:rPr>
        <w:t xml:space="preserve"> и близк</w:t>
      </w:r>
      <w:r w:rsidR="00764F3E">
        <w:rPr>
          <w:rFonts w:ascii="Times New Roman" w:hAnsi="Times New Roman" w:cs="Times New Roman"/>
          <w:sz w:val="24"/>
          <w:szCs w:val="24"/>
        </w:rPr>
        <w:t>им</w:t>
      </w:r>
      <w:r w:rsidR="007D5B9E">
        <w:rPr>
          <w:rFonts w:ascii="Times New Roman" w:hAnsi="Times New Roman" w:cs="Times New Roman"/>
          <w:sz w:val="24"/>
          <w:szCs w:val="24"/>
        </w:rPr>
        <w:t xml:space="preserve"> для избирателя. </w:t>
      </w:r>
    </w:p>
    <w:p w14:paraId="695635D9" w14:textId="2F2B5015" w:rsidR="002E260B" w:rsidRPr="007D5B9E" w:rsidRDefault="002E260B" w:rsidP="00C862E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E">
        <w:rPr>
          <w:rFonts w:ascii="Times New Roman" w:hAnsi="Times New Roman" w:cs="Times New Roman"/>
          <w:sz w:val="24"/>
          <w:szCs w:val="24"/>
          <w:u w:val="single"/>
        </w:rPr>
        <w:t>Метафора</w:t>
      </w:r>
    </w:p>
    <w:p w14:paraId="4F757199" w14:textId="5FA96E77" w:rsidR="007D5B9E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“...ma ci aspetta ancora tanto lavoro per tornare al vertice delle classifiche mondiali…” </w:t>
      </w:r>
      <w:r w:rsidRPr="002E260B">
        <w:rPr>
          <w:rFonts w:ascii="Times New Roman" w:hAnsi="Times New Roman" w:cs="Times New Roman"/>
          <w:sz w:val="24"/>
          <w:szCs w:val="24"/>
        </w:rPr>
        <w:t>(“... но нас ждет еще очень много работы, чтобы вернуться на вершину списка мировых лидеров...”)</w:t>
      </w:r>
      <w:r w:rsidR="001B6C76">
        <w:rPr>
          <w:rFonts w:ascii="Times New Roman" w:hAnsi="Times New Roman" w:cs="Times New Roman"/>
          <w:sz w:val="24"/>
          <w:szCs w:val="24"/>
        </w:rPr>
        <w:t xml:space="preserve">. </w:t>
      </w:r>
      <w:r w:rsidRPr="002E260B">
        <w:rPr>
          <w:rFonts w:ascii="Times New Roman" w:hAnsi="Times New Roman" w:cs="Times New Roman"/>
          <w:sz w:val="24"/>
          <w:szCs w:val="24"/>
        </w:rPr>
        <w:t xml:space="preserve">Метафора списка мировых лидеров реализует идею о том, что существует пространственная оппозиция “верх - низ”, где в распределении стран “верх” характеризуется развитостью и богатством находящихся там стран, и будущее Италии представляется как восхождение на вершину списка, что обычно связано </w:t>
      </w:r>
      <w:r w:rsidR="00765CAD">
        <w:rPr>
          <w:rFonts w:ascii="Times New Roman" w:hAnsi="Times New Roman" w:cs="Times New Roman"/>
          <w:sz w:val="24"/>
          <w:szCs w:val="24"/>
        </w:rPr>
        <w:t>с</w:t>
      </w:r>
      <w:r w:rsidR="00764F3E">
        <w:rPr>
          <w:rFonts w:ascii="Times New Roman" w:hAnsi="Times New Roman" w:cs="Times New Roman"/>
          <w:sz w:val="24"/>
          <w:szCs w:val="24"/>
        </w:rPr>
        <w:t xml:space="preserve"> </w:t>
      </w:r>
      <w:r w:rsidRPr="002E260B">
        <w:rPr>
          <w:rFonts w:ascii="Times New Roman" w:hAnsi="Times New Roman" w:cs="Times New Roman"/>
          <w:sz w:val="24"/>
          <w:szCs w:val="24"/>
        </w:rPr>
        <w:t>затратой усилий и сохранением терпения.</w:t>
      </w:r>
    </w:p>
    <w:p w14:paraId="781E8CAF" w14:textId="1B9C1F9C" w:rsidR="002E260B" w:rsidRPr="007D5B9E" w:rsidRDefault="002E260B" w:rsidP="00C862E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E">
        <w:rPr>
          <w:rFonts w:ascii="Times New Roman" w:hAnsi="Times New Roman" w:cs="Times New Roman"/>
          <w:sz w:val="24"/>
          <w:szCs w:val="24"/>
          <w:u w:val="single"/>
        </w:rPr>
        <w:t>Слова с семантикой повторного действия</w:t>
      </w:r>
    </w:p>
    <w:p w14:paraId="025E788C" w14:textId="4E5FAC48" w:rsidR="007D5B9E" w:rsidRDefault="00764F3E" w:rsidP="0076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Найденные </w:t>
      </w:r>
      <w:r w:rsidR="001B6C76">
        <w:rPr>
          <w:rFonts w:ascii="Times New Roman" w:hAnsi="Times New Roman" w:cs="Times New Roman"/>
          <w:sz w:val="24"/>
          <w:szCs w:val="24"/>
        </w:rPr>
        <w:t>слова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 с репродуктивно-повторительным значением можно разделить на группу с семантикой “ещё раз” (</w:t>
      </w:r>
      <w:r w:rsidR="002E260B" w:rsidRPr="00764F3E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764F3E">
        <w:rPr>
          <w:rFonts w:ascii="Times New Roman" w:hAnsi="Times New Roman" w:cs="Times New Roman"/>
          <w:i/>
          <w:iCs/>
          <w:sz w:val="24"/>
          <w:szCs w:val="24"/>
        </w:rPr>
        <w:t>ripartenza</w:t>
      </w:r>
      <w:proofErr w:type="spellEnd"/>
      <w:r w:rsidR="002E260B" w:rsidRPr="00764F3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64F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4F3E">
        <w:rPr>
          <w:rFonts w:ascii="Times New Roman" w:hAnsi="Times New Roman" w:cs="Times New Roman"/>
          <w:sz w:val="24"/>
          <w:szCs w:val="24"/>
        </w:rPr>
        <w:t>(перезапуск)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B229A9" w:rsidRPr="00014781">
        <w:rPr>
          <w:rFonts w:ascii="Times New Roman" w:hAnsi="Times New Roman" w:cs="Times New Roman"/>
          <w:i/>
          <w:iCs/>
          <w:sz w:val="24"/>
          <w:szCs w:val="24"/>
          <w:lang w:val="en-US"/>
        </w:rPr>
        <w:t>ri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tornare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F3E">
        <w:rPr>
          <w:rFonts w:ascii="Times New Roman" w:hAnsi="Times New Roman" w:cs="Times New Roman"/>
          <w:sz w:val="24"/>
          <w:szCs w:val="24"/>
        </w:rPr>
        <w:t>(в</w:t>
      </w:r>
      <w:r w:rsidR="00014781">
        <w:rPr>
          <w:rFonts w:ascii="Times New Roman" w:hAnsi="Times New Roman" w:cs="Times New Roman"/>
          <w:sz w:val="24"/>
          <w:szCs w:val="24"/>
        </w:rPr>
        <w:t>озвращаться</w:t>
      </w:r>
      <w:r w:rsidRPr="00764F3E">
        <w:rPr>
          <w:rFonts w:ascii="Times New Roman" w:hAnsi="Times New Roman" w:cs="Times New Roman"/>
          <w:sz w:val="24"/>
          <w:szCs w:val="24"/>
        </w:rPr>
        <w:t>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ricadute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(повторное падение)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ripresa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(возобновление)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ridare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(вернуть)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ricostruire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(заново построить)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riconquistando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(заново завоёвывая)</w:t>
      </w:r>
      <w:r w:rsidR="002E260B" w:rsidRPr="002E260B">
        <w:rPr>
          <w:rFonts w:ascii="Times New Roman" w:hAnsi="Times New Roman" w:cs="Times New Roman"/>
          <w:sz w:val="24"/>
          <w:szCs w:val="24"/>
        </w:rPr>
        <w:t>) и с семантикой повторного действия, но выполненного по-другому (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rib</w:t>
      </w:r>
      <w:r w:rsidR="00B229A9" w:rsidRPr="0001478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lanciare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 w:rsidRPr="00014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(перераспредел</w:t>
      </w:r>
      <w:r w:rsidR="00014781">
        <w:rPr>
          <w:rFonts w:ascii="Times New Roman" w:hAnsi="Times New Roman" w:cs="Times New Roman"/>
          <w:sz w:val="24"/>
          <w:szCs w:val="24"/>
        </w:rPr>
        <w:t>я</w:t>
      </w:r>
      <w:r w:rsidR="00014781" w:rsidRPr="00764F3E">
        <w:rPr>
          <w:rFonts w:ascii="Times New Roman" w:hAnsi="Times New Roman" w:cs="Times New Roman"/>
          <w:sz w:val="24"/>
          <w:szCs w:val="24"/>
        </w:rPr>
        <w:t>ть)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ricominciare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(нач</w:t>
      </w:r>
      <w:r w:rsidR="00014781">
        <w:rPr>
          <w:rFonts w:ascii="Times New Roman" w:hAnsi="Times New Roman" w:cs="Times New Roman"/>
          <w:sz w:val="24"/>
          <w:szCs w:val="24"/>
        </w:rPr>
        <w:t>а</w:t>
      </w:r>
      <w:r w:rsidR="00014781" w:rsidRPr="00764F3E">
        <w:rPr>
          <w:rFonts w:ascii="Times New Roman" w:hAnsi="Times New Roman" w:cs="Times New Roman"/>
          <w:sz w:val="24"/>
          <w:szCs w:val="24"/>
        </w:rPr>
        <w:t>ть заново)</w:t>
      </w:r>
      <w:r w:rsidR="002E260B" w:rsidRPr="002E260B">
        <w:rPr>
          <w:rFonts w:ascii="Times New Roman" w:hAnsi="Times New Roman" w:cs="Times New Roman"/>
          <w:sz w:val="24"/>
          <w:szCs w:val="24"/>
        </w:rPr>
        <w:t xml:space="preserve">, </w:t>
      </w:r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rivalorizzare</w:t>
      </w:r>
      <w:proofErr w:type="spellEnd"/>
      <w:r w:rsidR="002E260B" w:rsidRPr="000147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14781">
        <w:rPr>
          <w:rFonts w:ascii="Times New Roman" w:hAnsi="Times New Roman" w:cs="Times New Roman"/>
          <w:sz w:val="24"/>
          <w:szCs w:val="24"/>
        </w:rPr>
        <w:t xml:space="preserve"> </w:t>
      </w:r>
      <w:r w:rsidR="00014781" w:rsidRPr="00764F3E">
        <w:rPr>
          <w:rFonts w:ascii="Times New Roman" w:hAnsi="Times New Roman" w:cs="Times New Roman"/>
          <w:sz w:val="24"/>
          <w:szCs w:val="24"/>
        </w:rPr>
        <w:t>(переоцени</w:t>
      </w:r>
      <w:r w:rsidR="00014781">
        <w:rPr>
          <w:rFonts w:ascii="Times New Roman" w:hAnsi="Times New Roman" w:cs="Times New Roman"/>
          <w:sz w:val="24"/>
          <w:szCs w:val="24"/>
        </w:rPr>
        <w:t>ва</w:t>
      </w:r>
      <w:r w:rsidR="00014781" w:rsidRPr="00764F3E">
        <w:rPr>
          <w:rFonts w:ascii="Times New Roman" w:hAnsi="Times New Roman" w:cs="Times New Roman"/>
          <w:sz w:val="24"/>
          <w:szCs w:val="24"/>
        </w:rPr>
        <w:t>ть)</w:t>
      </w:r>
      <w:r w:rsidR="002E260B" w:rsidRPr="002E260B">
        <w:rPr>
          <w:rFonts w:ascii="Times New Roman" w:hAnsi="Times New Roman" w:cs="Times New Roman"/>
          <w:sz w:val="24"/>
          <w:szCs w:val="24"/>
        </w:rPr>
        <w:t>). Предвыборная программа партии создает образ страны, которая переживала взлеты и падения и сейчас стоит перед выбором дальнейшего пути. Такой лингвистический приём указывает избирателю на несовершенства государственного устройства, убеждает в необходимости переустройства страны. </w:t>
      </w:r>
    </w:p>
    <w:p w14:paraId="23116964" w14:textId="69A3597D" w:rsidR="002E260B" w:rsidRDefault="002E260B" w:rsidP="0054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0B">
        <w:rPr>
          <w:rFonts w:ascii="Times New Roman" w:hAnsi="Times New Roman" w:cs="Times New Roman"/>
          <w:sz w:val="24"/>
          <w:szCs w:val="24"/>
        </w:rPr>
        <w:t xml:space="preserve">Итак, лингвистические средства в правительственной программе 2022 года (“Введение”) партии </w:t>
      </w:r>
      <w:proofErr w:type="spellStart"/>
      <w:r w:rsidRPr="002E260B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Pr="002E260B">
        <w:rPr>
          <w:rFonts w:ascii="Times New Roman" w:hAnsi="Times New Roman" w:cs="Times New Roman"/>
          <w:sz w:val="24"/>
          <w:szCs w:val="24"/>
        </w:rPr>
        <w:t xml:space="preserve"> Nord используются в основном с целью создания определенных образов, формирования картины мира адресата, убеждения его через акцентирование внимания на “важных” словах</w:t>
      </w:r>
      <w:r w:rsidR="00151DE7">
        <w:rPr>
          <w:rFonts w:ascii="Times New Roman" w:hAnsi="Times New Roman" w:cs="Times New Roman"/>
          <w:sz w:val="24"/>
          <w:szCs w:val="24"/>
        </w:rPr>
        <w:t>, чтобы заставить</w:t>
      </w:r>
      <w:r w:rsidRPr="002E260B">
        <w:rPr>
          <w:rFonts w:ascii="Times New Roman" w:hAnsi="Times New Roman" w:cs="Times New Roman"/>
          <w:sz w:val="24"/>
          <w:szCs w:val="24"/>
        </w:rPr>
        <w:t xml:space="preserve"> совершить выбор в пользу партии.</w:t>
      </w:r>
    </w:p>
    <w:p w14:paraId="12B60B6C" w14:textId="77777777" w:rsidR="001B6C76" w:rsidRPr="002E260B" w:rsidRDefault="001B6C76" w:rsidP="001B6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04DC98" w14:textId="77777777" w:rsidR="002E260B" w:rsidRPr="00C552B5" w:rsidRDefault="002E260B" w:rsidP="008E0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E260B">
        <w:rPr>
          <w:rFonts w:ascii="Times New Roman" w:hAnsi="Times New Roman" w:cs="Times New Roman"/>
          <w:sz w:val="24"/>
          <w:szCs w:val="24"/>
        </w:rPr>
        <w:t>Литература</w:t>
      </w:r>
      <w:r w:rsidRPr="00C552B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108BD65" w14:textId="69CE2519" w:rsidR="002E260B" w:rsidRPr="002E260B" w:rsidRDefault="002E260B" w:rsidP="008E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0B">
        <w:rPr>
          <w:rFonts w:ascii="Times New Roman" w:hAnsi="Times New Roman" w:cs="Times New Roman"/>
          <w:i/>
          <w:iCs/>
          <w:sz w:val="24"/>
          <w:szCs w:val="24"/>
        </w:rPr>
        <w:t>Андрющенко О.К.</w:t>
      </w:r>
      <w:r w:rsidRPr="002E260B">
        <w:rPr>
          <w:rFonts w:ascii="Times New Roman" w:hAnsi="Times New Roman" w:cs="Times New Roman"/>
          <w:sz w:val="24"/>
          <w:szCs w:val="24"/>
        </w:rPr>
        <w:t xml:space="preserve"> “Жанровое пространство предвыборного дискурса”:</w:t>
      </w:r>
      <w:r w:rsidR="0041407C" w:rsidRPr="0041407C">
        <w:rPr>
          <w:rFonts w:ascii="Times New Roman" w:hAnsi="Times New Roman" w:cs="Times New Roman"/>
          <w:sz w:val="24"/>
          <w:szCs w:val="24"/>
        </w:rPr>
        <w:t xml:space="preserve"> https://cyberleninka.ru/article/n/zhanrovoe-prostranstvo-predvybornogo-diskursa/viewer</w:t>
      </w:r>
    </w:p>
    <w:p w14:paraId="48A1D105" w14:textId="2D0B0E35" w:rsidR="00765CAD" w:rsidRPr="00765CAD" w:rsidRDefault="00765CAD" w:rsidP="008E0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52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Maria Squarcione. </w:t>
      </w:r>
      <w:r w:rsidRPr="00C552B5">
        <w:rPr>
          <w:rFonts w:ascii="Times New Roman" w:hAnsi="Times New Roman" w:cs="Times New Roman"/>
          <w:sz w:val="24"/>
          <w:szCs w:val="24"/>
          <w:lang w:val="it-IT"/>
        </w:rPr>
        <w:t>Il linguaggio politico italiano:</w:t>
      </w:r>
      <w:r w:rsidR="008E0C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52B5">
        <w:rPr>
          <w:rFonts w:ascii="Times New Roman" w:hAnsi="Times New Roman" w:cs="Times New Roman"/>
          <w:sz w:val="24"/>
          <w:szCs w:val="24"/>
          <w:lang w:val="it-IT"/>
        </w:rPr>
        <w:t xml:space="preserve">verso la Terza Repubblica e oltre: </w:t>
      </w:r>
      <w:r w:rsidRPr="00C552B5">
        <w:rPr>
          <w:lang w:val="it-IT"/>
        </w:rPr>
        <w:t>https://core.ac.uk/download/pdf/53821983.pdf</w:t>
      </w:r>
    </w:p>
    <w:p w14:paraId="42893F09" w14:textId="571F37AE" w:rsidR="002E260B" w:rsidRPr="00C552B5" w:rsidRDefault="00541181" w:rsidP="008E0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0C10">
        <w:rPr>
          <w:rFonts w:ascii="Times New Roman" w:hAnsi="Times New Roman" w:cs="Times New Roman"/>
          <w:sz w:val="24"/>
          <w:szCs w:val="24"/>
          <w:lang w:val="it-IT"/>
        </w:rPr>
        <w:t>Programma</w:t>
      </w:r>
      <w:r w:rsidR="008E0C10" w:rsidRPr="008E0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C1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8E0C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E0C10">
        <w:rPr>
          <w:rFonts w:ascii="Times New Roman" w:hAnsi="Times New Roman" w:cs="Times New Roman"/>
          <w:sz w:val="24"/>
          <w:szCs w:val="24"/>
          <w:lang w:val="it-IT"/>
        </w:rPr>
        <w:t>Governo</w:t>
      </w:r>
      <w:r w:rsidR="008E0C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E0C10">
        <w:rPr>
          <w:rFonts w:ascii="Times New Roman" w:hAnsi="Times New Roman" w:cs="Times New Roman"/>
          <w:sz w:val="24"/>
          <w:szCs w:val="24"/>
          <w:lang w:val="it-IT"/>
        </w:rPr>
        <w:t>(Introduzione)</w:t>
      </w:r>
      <w:r w:rsidR="002E260B" w:rsidRPr="00C552B5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8E0C10" w:rsidRPr="008E0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07C" w:rsidRPr="00C552B5">
        <w:rPr>
          <w:rFonts w:ascii="Times New Roman" w:hAnsi="Times New Roman" w:cs="Times New Roman"/>
          <w:sz w:val="24"/>
          <w:szCs w:val="24"/>
          <w:lang w:val="it-IT"/>
        </w:rPr>
        <w:t>https://static.legaonline.it/files/Programma_Lega_2022.pdf</w:t>
      </w:r>
    </w:p>
    <w:p w14:paraId="26440E65" w14:textId="7C8342B8" w:rsidR="002E260B" w:rsidRPr="00C552B5" w:rsidRDefault="002E260B" w:rsidP="008E0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52B5">
        <w:rPr>
          <w:rFonts w:ascii="Times New Roman" w:hAnsi="Times New Roman" w:cs="Times New Roman"/>
          <w:sz w:val="24"/>
          <w:szCs w:val="24"/>
          <w:lang w:val="it-IT"/>
        </w:rPr>
        <w:t xml:space="preserve">Vocabolario Treccani: </w:t>
      </w:r>
      <w:r w:rsidR="0041407C" w:rsidRPr="00C552B5">
        <w:rPr>
          <w:rFonts w:ascii="Times New Roman" w:hAnsi="Times New Roman" w:cs="Times New Roman"/>
          <w:sz w:val="24"/>
          <w:szCs w:val="24"/>
          <w:lang w:val="it-IT"/>
        </w:rPr>
        <w:t>https://www.treccani.it/vocabolario/</w:t>
      </w:r>
    </w:p>
    <w:p w14:paraId="073EE24B" w14:textId="77777777" w:rsidR="002E260B" w:rsidRPr="00C552B5" w:rsidRDefault="002E260B" w:rsidP="00541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E260B" w:rsidRPr="00C552B5" w:rsidSect="005411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FB"/>
    <w:multiLevelType w:val="multilevel"/>
    <w:tmpl w:val="AF38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971AA"/>
    <w:multiLevelType w:val="hybridMultilevel"/>
    <w:tmpl w:val="7AB4C7C2"/>
    <w:lvl w:ilvl="0" w:tplc="2674AB6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BD8"/>
    <w:multiLevelType w:val="multilevel"/>
    <w:tmpl w:val="EAE6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A0C3F"/>
    <w:multiLevelType w:val="multilevel"/>
    <w:tmpl w:val="0D9EB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654"/>
    <w:multiLevelType w:val="multilevel"/>
    <w:tmpl w:val="E6D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63D61"/>
    <w:multiLevelType w:val="hybridMultilevel"/>
    <w:tmpl w:val="243EB8A8"/>
    <w:lvl w:ilvl="0" w:tplc="2674AB6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4B0B66"/>
    <w:multiLevelType w:val="multilevel"/>
    <w:tmpl w:val="F4924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B"/>
    <w:rsid w:val="00014781"/>
    <w:rsid w:val="00060EA2"/>
    <w:rsid w:val="0008082B"/>
    <w:rsid w:val="00151DE7"/>
    <w:rsid w:val="001B6C76"/>
    <w:rsid w:val="00280922"/>
    <w:rsid w:val="002E260B"/>
    <w:rsid w:val="003C1159"/>
    <w:rsid w:val="0041407C"/>
    <w:rsid w:val="00490DB3"/>
    <w:rsid w:val="00522A38"/>
    <w:rsid w:val="00541181"/>
    <w:rsid w:val="006F4CD7"/>
    <w:rsid w:val="00764F3E"/>
    <w:rsid w:val="00765CAD"/>
    <w:rsid w:val="007D5B9E"/>
    <w:rsid w:val="008E0C10"/>
    <w:rsid w:val="00AF25E5"/>
    <w:rsid w:val="00B229A9"/>
    <w:rsid w:val="00BB0138"/>
    <w:rsid w:val="00C552B5"/>
    <w:rsid w:val="00C862E9"/>
    <w:rsid w:val="00E44469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B8E1"/>
  <w15:chartTrackingRefBased/>
  <w15:docId w15:val="{12CAC5BC-06BB-4633-B8C6-A87318A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260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22A3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D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legaonline.it/files/Programma_Lega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F72F-84F0-433A-B0DC-915ED58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Ильина</dc:creator>
  <cp:keywords/>
  <dc:description/>
  <cp:lastModifiedBy>Екатерина Ильина</cp:lastModifiedBy>
  <cp:revision>2</cp:revision>
  <dcterms:created xsi:type="dcterms:W3CDTF">2024-02-28T20:09:00Z</dcterms:created>
  <dcterms:modified xsi:type="dcterms:W3CDTF">2024-02-28T20:09:00Z</dcterms:modified>
</cp:coreProperties>
</file>