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45D4" w:rsidRPr="00296D7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 определению понятия антикаузативной конструкции (на материале испанского языка)</w:t>
      </w:r>
    </w:p>
    <w:p w14:paraId="00000002" w14:textId="77777777" w:rsidR="00C545D4" w:rsidRPr="00296D7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Халилова Екатерина Александровна</w:t>
      </w:r>
    </w:p>
    <w:p w14:paraId="00000003" w14:textId="77777777" w:rsidR="00C545D4" w:rsidRPr="00296D76" w:rsidRDefault="0000000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Студентка Московского государственного университета имени М.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Ломоносова, Москва, Россия</w:t>
      </w:r>
    </w:p>
    <w:p w14:paraId="00000004" w14:textId="77777777" w:rsidR="00C545D4" w:rsidRPr="00296D76" w:rsidRDefault="00000000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Термин каузативно-инхоативное чередование используется для обозначения того факта, что одна ситуация может быть представлена двумя грамматическими конструкциями – переходной каузативной (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) и непереходной инхоативной (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в других терминах – антикаузативной. 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 xml:space="preserve">Это явление широко распространено в языках мира. </w:t>
      </w:r>
    </w:p>
    <w:p w14:paraId="00000005" w14:textId="77777777" w:rsidR="00C545D4" w:rsidRPr="00296D76" w:rsidRDefault="0000000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96D76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Víctor / el viento abrió la puerta. </w:t>
      </w:r>
    </w:p>
    <w:p w14:paraId="00000006" w14:textId="77777777" w:rsidR="00C545D4" w:rsidRPr="00296D76" w:rsidRDefault="00000000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76">
        <w:rPr>
          <w:rFonts w:ascii="Times New Roman" w:eastAsia="Times New Roman" w:hAnsi="Times New Roman" w:cs="Times New Roman"/>
          <w:i/>
          <w:sz w:val="24"/>
          <w:szCs w:val="24"/>
        </w:rPr>
        <w:t xml:space="preserve">La puerta (se) abrió. </w:t>
      </w:r>
    </w:p>
    <w:p w14:paraId="00000007" w14:textId="77777777" w:rsidR="00C545D4" w:rsidRPr="00296D76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Каузативная конструкция выражает причинно-следственную связь между событием и изменением состояния, а само изменение состояния обозначается антикаузативной конструкцией. </w:t>
      </w:r>
    </w:p>
    <w:p w14:paraId="00000008" w14:textId="77777777" w:rsidR="00C545D4" w:rsidRPr="00296D76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Антикаузатив принято считать актантной деривацией. В большинстве случаев он трактуется как понижающая деривация, поскольку набор участников, по сравнению с каузативной ситуацией, уменьшается на один актант. Ситуация, которая в каузативе представлялась как агентивная, преобразуется в некаузированную, которая не имеет внешнего агенса и происходит «сама по себе» [Плу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нгян 2003].</w:t>
      </w:r>
    </w:p>
    <w:p w14:paraId="00000009" w14:textId="77777777" w:rsidR="00C545D4" w:rsidRPr="00296D76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В традиционной грамматической теории понятие антикаузатива отсутствовало. Термин «антикаузатив» впервые предлагается в работе [Недялков, Сильницкий 1969: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243] для описания формально маркированного, но семантически более простого члена оппозиции. В последующих исследованиях под термином «антикаузатив» стало пониматься более широкое понятие – это не только маркированный член оппозиции, а любой непереходный член пары [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Vivanco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2016]. </w:t>
      </w:r>
    </w:p>
    <w:p w14:paraId="0000000A" w14:textId="5EA6B5CA" w:rsidR="00C545D4" w:rsidRPr="00296D76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Для описания испанского языка термин «антикаузатив» впервые используется в работе [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Cabrera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1984: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31]. Испанский лингвист ссылается на феномен, который с позиций традиционной грамматики трактуется как «рецессивная диатеза». Это диатеза, у которой количество актантов при преобразовании от переходного глагола к непереходному уменьшается на единицу. Теньер</w:t>
      </w:r>
      <w:r w:rsidR="00296D76"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[1969: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272] противопоставляет рецессивную диатезу каузативной и отмечает, что в грамматиках редко признавалось существование рецессивной диатезы. Также обращается внимание на отсутствие единого терминологического аппарата для ее обозначения. Кабрера</w:t>
      </w:r>
      <w:r w:rsidR="00296D76"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предлагает называть такую диатезу антикаузативной, поскольку каузатор действия понижается в статусе, переходя от подлежащего к дополнению, которое может быть не выражено. </w:t>
      </w:r>
    </w:p>
    <w:p w14:paraId="0000000B" w14:textId="77777777" w:rsidR="00C545D4" w:rsidRPr="00296D76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опоставительные исследования показывают, что языки используют разные морфосинтаксические стратегии для маркирования каузативного и антикаузативного значений.</w:t>
      </w:r>
      <w:r w:rsidRPr="00296D7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white"/>
          <w:lang w:val="ru-RU"/>
        </w:rPr>
        <w:t xml:space="preserve"> </w:t>
      </w:r>
    </w:p>
    <w:p w14:paraId="0000000C" w14:textId="77777777" w:rsidR="00C545D4" w:rsidRPr="00296D76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Виванко [2016: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329] предлагает трехчастную классификацию: маркирование антикаузативного глагола, маркирование каузативного глагола и ненаправленное маркирование. В романских языках (в испанском в частности) маркером, выражающим среди прочих значений антикаузативное, является элемент </w:t>
      </w:r>
      <w:r w:rsidRPr="00296D76"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(1). При маркировании каузативного глагола антикаузативный является морфологически более простым, а каузативная конструкция образуется с помощью суффикса или вспомогательного глагола (2). </w:t>
      </w:r>
    </w:p>
    <w:p w14:paraId="0000000D" w14:textId="77777777" w:rsidR="00C545D4" w:rsidRPr="00296D76" w:rsidRDefault="00000000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D76">
        <w:rPr>
          <w:rFonts w:ascii="Times New Roman" w:eastAsia="Cardo" w:hAnsi="Times New Roman" w:cs="Times New Roman"/>
          <w:i/>
          <w:sz w:val="24"/>
          <w:szCs w:val="24"/>
        </w:rPr>
        <w:t>romper (tr) → romper</w:t>
      </w:r>
      <w:r w:rsidRPr="00296D76">
        <w:rPr>
          <w:rFonts w:ascii="Times New Roman" w:eastAsia="Times New Roman" w:hAnsi="Times New Roman" w:cs="Times New Roman"/>
          <w:i/>
          <w:sz w:val="24"/>
          <w:szCs w:val="24"/>
        </w:rPr>
        <w:t>se (intr)</w:t>
      </w:r>
    </w:p>
    <w:p w14:paraId="0000000E" w14:textId="77777777" w:rsidR="00C545D4" w:rsidRPr="00296D76" w:rsidRDefault="00000000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96D76">
        <w:rPr>
          <w:rFonts w:ascii="Times New Roman" w:eastAsia="Cardo" w:hAnsi="Times New Roman" w:cs="Times New Roman"/>
          <w:i/>
          <w:sz w:val="24"/>
          <w:szCs w:val="24"/>
          <w:lang w:val="es-ES"/>
        </w:rPr>
        <w:t xml:space="preserve">reír (intr) → </w:t>
      </w:r>
      <w:r w:rsidRPr="00296D76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hacer reír (tr)</w:t>
      </w:r>
    </w:p>
    <w:p w14:paraId="0000000F" w14:textId="77777777" w:rsidR="00C545D4" w:rsidRPr="00296D76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2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 группы ненаправленного маркирования выделяются три типа: эквиполентная оппозиция (3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при которой к одной основе в обоих глаголах добавляется определенный 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маркер; немаркированное (лабильное) употребление (3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при котором глаголы могут быть как переходными, так и непереходными без изменения своей формы; супплетивная оппозиция (3с), при которой переходный и непереходный глаголы формально не связаны. </w:t>
      </w:r>
    </w:p>
    <w:p w14:paraId="00000010" w14:textId="77777777" w:rsidR="00C545D4" w:rsidRPr="00296D76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(3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296D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в испанском языке это явление отсутствует</w:t>
      </w:r>
    </w:p>
    <w:p w14:paraId="00000011" w14:textId="36BE66BC" w:rsidR="00C545D4" w:rsidRPr="00296D76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es-ES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es-ES"/>
        </w:rPr>
        <w:t>(3b)</w:t>
      </w:r>
      <w:r w:rsidRPr="00296D76">
        <w:rPr>
          <w:rFonts w:ascii="Times New Roman" w:eastAsia="Cardo" w:hAnsi="Times New Roman" w:cs="Times New Roman"/>
          <w:i/>
          <w:sz w:val="24"/>
          <w:szCs w:val="24"/>
          <w:lang w:val="es-ES"/>
        </w:rPr>
        <w:t xml:space="preserve"> cambiar (intr) ↔ </w:t>
      </w:r>
      <w:r w:rsidRPr="00296D76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cambiar (tr)</w:t>
      </w:r>
    </w:p>
    <w:p w14:paraId="00000012" w14:textId="41781D81" w:rsidR="00C545D4" w:rsidRPr="00296D76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20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es-ES"/>
        </w:rPr>
        <w:t>(3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) </w:t>
      </w:r>
      <w:r w:rsidRPr="00296D76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morir (intr) / matar (tr)</w:t>
      </w:r>
    </w:p>
    <w:p w14:paraId="00000013" w14:textId="77777777" w:rsidR="00C545D4" w:rsidRPr="00296D76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Помимо стратегий, отвечающих за формальные отличия глаголов каузативно-антикаузативной пары, значимым для исследования является ответ на вопрос о существовании деривационной связи между каузативным и антикаузативным членом пары и, если эта связь есть – какой член пары является основным, а какой производным.</w:t>
      </w:r>
    </w:p>
    <w:p w14:paraId="00000014" w14:textId="77777777" w:rsidR="00C545D4" w:rsidRPr="00296D76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Обратим особое внимание на то, что в романских языках есть ряд глаголов, для которых маркирование антикаузативного глагола необязательно, но возможно, а значит, такие глаголы участвуют и в антикаузативном чередовании, и в лабильном. </w:t>
      </w:r>
    </w:p>
    <w:p w14:paraId="00000015" w14:textId="77777777" w:rsidR="00C545D4" w:rsidRPr="00296D76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Важным вопросом при описании антикаузативных конструкций является обозначение семантических классов глаголов, которые могут участвовать в чередовании. Как правило, это глаголы изменения состояния, однако по ряду причин не все глаголы изменения состояния представлены парой каузативный / антикаузативный глагол. Некоторые исследователи [среди прочих, 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Geniu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š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ien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ė 1987: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86–89] отмечают, что семантика глаголов, входящих в состав антикаузативных конструкций, неоднородна. </w:t>
      </w:r>
    </w:p>
    <w:p w14:paraId="00000016" w14:textId="77777777" w:rsidR="00C545D4" w:rsidRPr="00296D76" w:rsidRDefault="00000000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Представленная в настоящей работе информация об антикаузативах не является бесспорной. Грамматисты предлагают как альтернативные подходы к анализу таких конструкций, так и иную терминологию. Тем не менее, попытка систематизации подходов, опирающаяся на работы исследователей языка, позволила последовательно описать существующие сведения о данных конструкциях применительно к испанскому языку, а также указала на перспективность дальнейшего изучения вопроса. </w:t>
      </w:r>
    </w:p>
    <w:p w14:paraId="00000017" w14:textId="77777777" w:rsidR="00C545D4" w:rsidRPr="00296D76" w:rsidRDefault="00C545D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8" w14:textId="77777777" w:rsidR="00C545D4" w:rsidRPr="00296D76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Литература</w:t>
      </w:r>
    </w:p>
    <w:p w14:paraId="00000019" w14:textId="77777777" w:rsidR="00C545D4" w:rsidRPr="00296D76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Недялков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П., Сильницкий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Типология каузативных конструкций // Типология каузативных конструкций.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Л., 1969.</w:t>
      </w:r>
    </w:p>
    <w:p w14:paraId="0000001A" w14:textId="77777777" w:rsidR="00C545D4" w:rsidRPr="00296D76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Плунгян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ru-RU"/>
        </w:rPr>
        <w:t>А. Общая морфология: введение в проблематику. М., 2003.</w:t>
      </w:r>
    </w:p>
    <w:p w14:paraId="0000001B" w14:textId="77777777" w:rsidR="00C545D4" w:rsidRPr="00296D76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es-ES"/>
        </w:rPr>
        <w:t>Cabrera M. La diátesis anticausativa. Ensayo de sintaxis general //  Revista Española de Lingüística. 1984. № 12. P. 21-43.</w:t>
      </w:r>
    </w:p>
    <w:p w14:paraId="0000001C" w14:textId="77777777" w:rsidR="00C545D4" w:rsidRPr="00296D76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D76">
        <w:rPr>
          <w:rFonts w:ascii="Times New Roman" w:eastAsia="Times New Roman" w:hAnsi="Times New Roman" w:cs="Times New Roman"/>
          <w:sz w:val="24"/>
          <w:szCs w:val="24"/>
          <w:lang w:val="es-ES"/>
        </w:rPr>
        <w:t>Tesnière L.  Éléments de syntaxe structurale. Paris, 1969.</w:t>
      </w:r>
      <w:r w:rsidRPr="00296D76">
        <w:rPr>
          <w:rFonts w:ascii="Times New Roman" w:eastAsia="Times New Roman" w:hAnsi="Times New Roman" w:cs="Times New Roman"/>
          <w:sz w:val="24"/>
          <w:szCs w:val="24"/>
          <w:lang w:val="es-ES"/>
        </w:rPr>
        <w:br/>
        <w:t xml:space="preserve">Vivanco M. Causatividad y cambio de estado en español. </w:t>
      </w:r>
      <w:r w:rsidRPr="00296D76">
        <w:rPr>
          <w:rFonts w:ascii="Times New Roman" w:eastAsia="Times New Roman" w:hAnsi="Times New Roman" w:cs="Times New Roman"/>
          <w:sz w:val="24"/>
          <w:szCs w:val="24"/>
        </w:rPr>
        <w:t xml:space="preserve">La alternancia causativo-inacusativa. Madrid, 2016. </w:t>
      </w:r>
    </w:p>
    <w:sectPr w:rsidR="00C545D4" w:rsidRPr="00296D76" w:rsidSect="00296D76">
      <w:pgSz w:w="11909" w:h="16834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d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86B"/>
    <w:multiLevelType w:val="multilevel"/>
    <w:tmpl w:val="EA148808"/>
    <w:lvl w:ilvl="0">
      <w:start w:val="1"/>
      <w:numFmt w:val="lowerLetter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8D357D"/>
    <w:multiLevelType w:val="multilevel"/>
    <w:tmpl w:val="521A36BA"/>
    <w:lvl w:ilvl="0">
      <w:start w:val="1"/>
      <w:numFmt w:val="decimal"/>
      <w:lvlText w:val="(%1)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63681201">
    <w:abstractNumId w:val="1"/>
  </w:num>
  <w:num w:numId="2" w16cid:durableId="53740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5D4"/>
    <w:rsid w:val="00296D76"/>
    <w:rsid w:val="00C545D4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28C29B"/>
  <w15:docId w15:val="{2C861BC6-F412-FB4E-8FAA-83DF889E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679</Words>
  <Characters>4843</Characters>
  <Application>Microsoft Office Word</Application>
  <DocSecurity>0</DocSecurity>
  <Lines>85</Lines>
  <Paragraphs>27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Халилова</cp:lastModifiedBy>
  <cp:revision>3</cp:revision>
  <dcterms:created xsi:type="dcterms:W3CDTF">2024-02-27T14:06:00Z</dcterms:created>
  <dcterms:modified xsi:type="dcterms:W3CDTF">2024-02-27T14:11:00Z</dcterms:modified>
</cp:coreProperties>
</file>