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2DC65" w14:textId="77777777" w:rsidR="004F62C6" w:rsidRPr="00BD2EBA" w:rsidRDefault="004F62C6" w:rsidP="004F62C6">
      <w:pPr>
        <w:ind w:firstLine="426"/>
        <w:jc w:val="center"/>
        <w:rPr>
          <w:b/>
          <w:bCs/>
          <w:color w:val="000000"/>
          <w:shd w:val="clear" w:color="auto" w:fill="FFFFFF"/>
          <w:lang w:val="en-US"/>
        </w:rPr>
      </w:pPr>
      <w:r w:rsidRPr="00BD2EBA">
        <w:rPr>
          <w:b/>
          <w:bCs/>
          <w:color w:val="000000"/>
          <w:shd w:val="clear" w:color="auto" w:fill="FFFFFF"/>
          <w:lang w:val="en-US"/>
        </w:rPr>
        <w:t>Quantum corrections to effective potentials of simplest</w:t>
      </w:r>
    </w:p>
    <w:p w14:paraId="4BFDDD5E" w14:textId="77777777" w:rsidR="004F62C6" w:rsidRPr="004F62C6" w:rsidRDefault="004F62C6" w:rsidP="004F62C6">
      <w:pPr>
        <w:ind w:firstLine="426"/>
        <w:jc w:val="center"/>
        <w:rPr>
          <w:b/>
          <w:bCs/>
          <w:color w:val="000000"/>
          <w:shd w:val="clear" w:color="auto" w:fill="FFFFFF"/>
          <w:lang w:val="en-US"/>
        </w:rPr>
      </w:pPr>
      <w:r w:rsidRPr="00BD2EBA">
        <w:rPr>
          <w:rFonts w:ascii="Cambria Math" w:hAnsi="Cambria Math" w:cs="Cambria Math"/>
          <w:b/>
          <w:bCs/>
          <w:color w:val="000000"/>
          <w:shd w:val="clear" w:color="auto" w:fill="FFFFFF"/>
        </w:rPr>
        <w:t>𝜶</w:t>
      </w:r>
      <w:r w:rsidRPr="004F62C6">
        <w:rPr>
          <w:b/>
          <w:bCs/>
          <w:color w:val="000000"/>
          <w:shd w:val="clear" w:color="auto" w:fill="FFFFFF"/>
          <w:lang w:val="en-US"/>
        </w:rPr>
        <w:t>-attractors</w:t>
      </w:r>
    </w:p>
    <w:p w14:paraId="65222E58" w14:textId="0E8E2C3F" w:rsidR="004F62C6" w:rsidRDefault="004F62C6" w:rsidP="004F62C6">
      <w:pPr>
        <w:ind w:firstLine="426"/>
        <w:jc w:val="center"/>
        <w:rPr>
          <w:b/>
          <w:i/>
          <w:lang w:val="en-US"/>
        </w:rPr>
      </w:pPr>
      <w:r w:rsidRPr="004F62C6">
        <w:rPr>
          <w:rStyle w:val="a3"/>
          <w:b/>
          <w:bCs/>
          <w:color w:val="000000"/>
          <w:shd w:val="clear" w:color="auto" w:fill="FFFFFF"/>
          <w:lang w:val="en-US"/>
        </w:rPr>
        <w:t>Kazakov D.I.</w:t>
      </w:r>
      <w:r w:rsidR="00AE17F0">
        <w:rPr>
          <w:rStyle w:val="a3"/>
          <w:b/>
          <w:bCs/>
          <w:color w:val="000000"/>
          <w:shd w:val="clear" w:color="auto" w:fill="FFFFFF"/>
          <w:vertAlign w:val="superscript"/>
          <w:lang w:val="en-US"/>
        </w:rPr>
        <w:t>1,2</w:t>
      </w:r>
      <w:r w:rsidRPr="004F62C6">
        <w:rPr>
          <w:rStyle w:val="a3"/>
          <w:b/>
          <w:bCs/>
          <w:color w:val="000000"/>
          <w:shd w:val="clear" w:color="auto" w:fill="FFFFFF"/>
          <w:lang w:val="en-US"/>
        </w:rPr>
        <w:t>,</w:t>
      </w:r>
      <w:r w:rsidRPr="004F62C6">
        <w:rPr>
          <w:lang w:val="en-US"/>
        </w:rPr>
        <w:t xml:space="preserve"> </w:t>
      </w:r>
      <w:proofErr w:type="spellStart"/>
      <w:r w:rsidRPr="004F62C6">
        <w:rPr>
          <w:rStyle w:val="a3"/>
          <w:b/>
          <w:bCs/>
          <w:color w:val="000000"/>
          <w:shd w:val="clear" w:color="auto" w:fill="FFFFFF"/>
          <w:lang w:val="en-US"/>
        </w:rPr>
        <w:t>Iakhibbaev</w:t>
      </w:r>
      <w:proofErr w:type="spellEnd"/>
      <w:r w:rsidRPr="004F62C6">
        <w:rPr>
          <w:rStyle w:val="a3"/>
          <w:b/>
          <w:bCs/>
          <w:color w:val="000000"/>
          <w:shd w:val="clear" w:color="auto" w:fill="FFFFFF"/>
          <w:lang w:val="en-US"/>
        </w:rPr>
        <w:t xml:space="preserve"> R.M</w:t>
      </w:r>
      <w:r w:rsidR="00AE17F0">
        <w:rPr>
          <w:rStyle w:val="a3"/>
          <w:b/>
          <w:bCs/>
          <w:color w:val="000000"/>
          <w:shd w:val="clear" w:color="auto" w:fill="FFFFFF"/>
          <w:vertAlign w:val="superscript"/>
          <w:lang w:val="en-US"/>
        </w:rPr>
        <w:t>1</w:t>
      </w:r>
      <w:r w:rsidRPr="004F62C6">
        <w:rPr>
          <w:rStyle w:val="a3"/>
          <w:b/>
          <w:bCs/>
          <w:color w:val="000000"/>
          <w:shd w:val="clear" w:color="auto" w:fill="FFFFFF"/>
          <w:lang w:val="en-US"/>
        </w:rPr>
        <w:t xml:space="preserve">, </w:t>
      </w:r>
      <w:proofErr w:type="spellStart"/>
      <w:r w:rsidRPr="004F62C6">
        <w:rPr>
          <w:rStyle w:val="a3"/>
          <w:b/>
          <w:bCs/>
          <w:color w:val="000000"/>
          <w:shd w:val="clear" w:color="auto" w:fill="FFFFFF"/>
          <w:lang w:val="en-US"/>
        </w:rPr>
        <w:t>Tolkachev</w:t>
      </w:r>
      <w:proofErr w:type="spellEnd"/>
      <w:r w:rsidRPr="004F62C6">
        <w:rPr>
          <w:rStyle w:val="a3"/>
          <w:b/>
          <w:bCs/>
          <w:color w:val="000000"/>
          <w:shd w:val="clear" w:color="auto" w:fill="FFFFFF"/>
          <w:lang w:val="en-US"/>
        </w:rPr>
        <w:t xml:space="preserve"> D.M.</w:t>
      </w:r>
      <w:r w:rsidR="00AE17F0">
        <w:rPr>
          <w:rStyle w:val="a3"/>
          <w:b/>
          <w:bCs/>
          <w:color w:val="000000"/>
          <w:shd w:val="clear" w:color="auto" w:fill="FFFFFF"/>
          <w:vertAlign w:val="superscript"/>
          <w:lang w:val="en-US"/>
        </w:rPr>
        <w:t>1,3</w:t>
      </w:r>
      <w:r w:rsidRPr="004F62C6">
        <w:rPr>
          <w:rStyle w:val="a3"/>
          <w:b/>
          <w:bCs/>
          <w:color w:val="000000"/>
          <w:shd w:val="clear" w:color="auto" w:fill="FFFFFF"/>
          <w:lang w:val="en-US"/>
        </w:rPr>
        <w:t xml:space="preserve"> </w:t>
      </w:r>
      <w:r w:rsidRPr="00B93BF5">
        <w:rPr>
          <w:rStyle w:val="a3"/>
          <w:b/>
          <w:bCs/>
          <w:color w:val="000000"/>
          <w:shd w:val="clear" w:color="auto" w:fill="FFFFFF"/>
          <w:lang w:val="en-US"/>
        </w:rPr>
        <w:t>and</w:t>
      </w:r>
      <w:r w:rsidRPr="004F62C6">
        <w:rPr>
          <w:rStyle w:val="a3"/>
          <w:b/>
          <w:bCs/>
          <w:color w:val="000000"/>
          <w:shd w:val="clear" w:color="auto" w:fill="FFFFFF"/>
          <w:lang w:val="en-US"/>
        </w:rPr>
        <w:t xml:space="preserve"> </w:t>
      </w:r>
      <w:r w:rsidRPr="00B93BF5">
        <w:rPr>
          <w:rStyle w:val="a3"/>
          <w:b/>
          <w:bCs/>
          <w:color w:val="000000"/>
          <w:shd w:val="clear" w:color="auto" w:fill="FFFFFF"/>
          <w:lang w:val="en-US"/>
        </w:rPr>
        <w:t>Filippov</w:t>
      </w:r>
      <w:r w:rsidRPr="004F62C6">
        <w:rPr>
          <w:rStyle w:val="a3"/>
          <w:b/>
          <w:bCs/>
          <w:color w:val="000000"/>
          <w:shd w:val="clear" w:color="auto" w:fill="FFFFFF"/>
          <w:lang w:val="en-US"/>
        </w:rPr>
        <w:t xml:space="preserve"> </w:t>
      </w:r>
      <w:r w:rsidRPr="00B93BF5">
        <w:rPr>
          <w:rStyle w:val="a3"/>
          <w:b/>
          <w:bCs/>
          <w:color w:val="000000"/>
          <w:shd w:val="clear" w:color="auto" w:fill="FFFFFF"/>
          <w:lang w:val="en-US"/>
        </w:rPr>
        <w:t>V</w:t>
      </w:r>
      <w:r w:rsidRPr="004F62C6">
        <w:rPr>
          <w:rStyle w:val="a3"/>
          <w:b/>
          <w:bCs/>
          <w:color w:val="000000"/>
          <w:shd w:val="clear" w:color="auto" w:fill="FFFFFF"/>
          <w:lang w:val="en-US"/>
        </w:rPr>
        <w:t>.</w:t>
      </w:r>
      <w:r w:rsidRPr="00B93BF5">
        <w:rPr>
          <w:rStyle w:val="a3"/>
          <w:b/>
          <w:bCs/>
          <w:color w:val="000000"/>
          <w:shd w:val="clear" w:color="auto" w:fill="FFFFFF"/>
          <w:lang w:val="en-US"/>
        </w:rPr>
        <w:t>A</w:t>
      </w:r>
      <w:r w:rsidRPr="004F62C6">
        <w:rPr>
          <w:rStyle w:val="a3"/>
          <w:b/>
          <w:bCs/>
          <w:color w:val="000000"/>
          <w:shd w:val="clear" w:color="auto" w:fill="FFFFFF"/>
          <w:lang w:val="en-US"/>
        </w:rPr>
        <w:t>.</w:t>
      </w:r>
      <w:r w:rsidR="00AE17F0">
        <w:rPr>
          <w:rStyle w:val="a3"/>
          <w:b/>
          <w:bCs/>
          <w:color w:val="000000"/>
          <w:shd w:val="clear" w:color="auto" w:fill="FFFFFF"/>
          <w:vertAlign w:val="superscript"/>
          <w:lang w:val="en-US"/>
        </w:rPr>
        <w:t>1,4</w:t>
      </w:r>
      <w:r w:rsidRPr="004F62C6">
        <w:rPr>
          <w:b/>
          <w:i/>
          <w:lang w:val="en-US"/>
        </w:rPr>
        <w:t xml:space="preserve"> </w:t>
      </w:r>
    </w:p>
    <w:p w14:paraId="7D330FDE" w14:textId="3B9396ED" w:rsidR="00197441" w:rsidRPr="003052B6" w:rsidRDefault="00CC3F5C" w:rsidP="004F62C6">
      <w:pPr>
        <w:ind w:firstLine="426"/>
        <w:jc w:val="center"/>
        <w:rPr>
          <w:rStyle w:val="a3"/>
          <w:rFonts w:eastAsiaTheme="minorEastAsia"/>
          <w:iCs w:val="0"/>
          <w:color w:val="000000"/>
          <w:shd w:val="clear" w:color="auto" w:fill="FFFFFF"/>
          <w:lang w:val="en-US"/>
        </w:rPr>
      </w:pPr>
      <w:r w:rsidRPr="003052B6">
        <w:rPr>
          <w:rStyle w:val="a3"/>
          <w:rFonts w:eastAsiaTheme="minorEastAsia"/>
          <w:iCs w:val="0"/>
          <w:color w:val="000000"/>
          <w:shd w:val="clear" w:color="auto" w:fill="FFFFFF"/>
          <w:vertAlign w:val="superscript"/>
          <w:lang w:val="en-US"/>
        </w:rPr>
        <w:t>1</w:t>
      </w:r>
      <w:r w:rsidRPr="003052B6">
        <w:rPr>
          <w:rStyle w:val="a3"/>
          <w:rFonts w:eastAsiaTheme="minorEastAsia"/>
          <w:iCs w:val="0"/>
          <w:color w:val="000000"/>
          <w:shd w:val="clear" w:color="auto" w:fill="FFFFFF"/>
          <w:lang w:val="en-US"/>
        </w:rPr>
        <w:t>Joint Institute for Nuclear Research, 6, Joliot Curie, Dubna, Russia</w:t>
      </w:r>
    </w:p>
    <w:p w14:paraId="0C4B3096" w14:textId="2E295AB6" w:rsidR="00CC3F5C" w:rsidRPr="003052B6" w:rsidRDefault="00AE17F0" w:rsidP="004F62C6">
      <w:pPr>
        <w:ind w:firstLine="426"/>
        <w:jc w:val="center"/>
        <w:rPr>
          <w:i/>
          <w:lang w:val="en-US"/>
        </w:rPr>
      </w:pPr>
      <w:r w:rsidRPr="003052B6">
        <w:rPr>
          <w:i/>
          <w:vertAlign w:val="superscript"/>
          <w:lang w:val="en-US"/>
        </w:rPr>
        <w:t>2</w:t>
      </w:r>
      <w:r w:rsidRPr="003052B6">
        <w:rPr>
          <w:i/>
          <w:lang w:val="en-US"/>
        </w:rPr>
        <w:t xml:space="preserve">Moscow Institute of Physics and Technology, 9, </w:t>
      </w:r>
      <w:proofErr w:type="spellStart"/>
      <w:r w:rsidRPr="003052B6">
        <w:rPr>
          <w:i/>
          <w:lang w:val="en-US"/>
        </w:rPr>
        <w:t>Institutskiy</w:t>
      </w:r>
      <w:proofErr w:type="spellEnd"/>
      <w:r w:rsidRPr="003052B6">
        <w:rPr>
          <w:i/>
          <w:lang w:val="en-US"/>
        </w:rPr>
        <w:t xml:space="preserve"> per., </w:t>
      </w:r>
      <w:proofErr w:type="spellStart"/>
      <w:r w:rsidRPr="003052B6">
        <w:rPr>
          <w:i/>
          <w:lang w:val="en-US"/>
        </w:rPr>
        <w:t>Dolgoprudny</w:t>
      </w:r>
      <w:proofErr w:type="spellEnd"/>
      <w:r w:rsidRPr="003052B6">
        <w:rPr>
          <w:i/>
          <w:lang w:val="en-US"/>
        </w:rPr>
        <w:t>, Russia</w:t>
      </w:r>
    </w:p>
    <w:p w14:paraId="078A0A2D" w14:textId="0389D628" w:rsidR="00AE17F0" w:rsidRPr="003052B6" w:rsidRDefault="00AE17F0" w:rsidP="00AE17F0">
      <w:pPr>
        <w:ind w:firstLine="426"/>
        <w:jc w:val="center"/>
        <w:rPr>
          <w:i/>
          <w:lang w:val="en-US"/>
        </w:rPr>
      </w:pPr>
      <w:r w:rsidRPr="003052B6">
        <w:rPr>
          <w:i/>
          <w:vertAlign w:val="superscript"/>
          <w:lang w:val="en-US"/>
        </w:rPr>
        <w:t>3</w:t>
      </w:r>
      <w:r w:rsidRPr="003052B6">
        <w:rPr>
          <w:i/>
          <w:lang w:val="en-US"/>
        </w:rPr>
        <w:t xml:space="preserve">Stepanov Institute of Physics, 68, </w:t>
      </w:r>
      <w:proofErr w:type="spellStart"/>
      <w:r w:rsidRPr="003052B6">
        <w:rPr>
          <w:i/>
          <w:lang w:val="en-US"/>
        </w:rPr>
        <w:t>Nezavisimosti</w:t>
      </w:r>
      <w:proofErr w:type="spellEnd"/>
      <w:r w:rsidRPr="003052B6">
        <w:rPr>
          <w:i/>
          <w:lang w:val="en-US"/>
        </w:rPr>
        <w:t xml:space="preserve"> Ave., Minsk, Belarus</w:t>
      </w:r>
    </w:p>
    <w:p w14:paraId="6B58E5F2" w14:textId="3109891D" w:rsidR="004F62C6" w:rsidRPr="003052B6" w:rsidRDefault="00AE17F0" w:rsidP="004F62C6">
      <w:pPr>
        <w:ind w:firstLine="426"/>
        <w:jc w:val="center"/>
        <w:rPr>
          <w:rStyle w:val="a3"/>
          <w:iCs w:val="0"/>
          <w:color w:val="000000"/>
          <w:shd w:val="clear" w:color="auto" w:fill="FFFFFF"/>
          <w:lang w:val="en-US"/>
        </w:rPr>
      </w:pPr>
      <w:r w:rsidRPr="003052B6">
        <w:rPr>
          <w:rStyle w:val="a3"/>
          <w:bCs/>
          <w:iCs w:val="0"/>
          <w:color w:val="000000"/>
          <w:shd w:val="clear" w:color="auto" w:fill="FFFFFF"/>
          <w:vertAlign w:val="superscript"/>
          <w:lang w:val="en-US"/>
        </w:rPr>
        <w:t>4</w:t>
      </w:r>
      <w:r w:rsidR="004F62C6" w:rsidRPr="003052B6">
        <w:rPr>
          <w:rStyle w:val="a3"/>
          <w:iCs w:val="0"/>
          <w:color w:val="000000"/>
          <w:shd w:val="clear" w:color="auto" w:fill="FFFFFF"/>
          <w:lang w:val="en-US"/>
        </w:rPr>
        <w:t>student</w:t>
      </w:r>
    </w:p>
    <w:p w14:paraId="4C7A580B" w14:textId="6FDDDC7B" w:rsidR="004F62C6" w:rsidRPr="002D71E3" w:rsidRDefault="00F16C9B" w:rsidP="004F62C6">
      <w:pPr>
        <w:spacing w:after="200"/>
        <w:ind w:firstLine="426"/>
        <w:jc w:val="center"/>
        <w:rPr>
          <w:i/>
          <w:iCs/>
          <w:color w:val="000000"/>
          <w:shd w:val="clear" w:color="auto" w:fill="FFFFFF"/>
          <w:lang w:val="en-US"/>
        </w:rPr>
      </w:pPr>
      <w:r w:rsidRPr="00F16C9B">
        <w:rPr>
          <w:i/>
          <w:lang w:val="en-US"/>
        </w:rPr>
        <w:t xml:space="preserve"> </w:t>
      </w:r>
      <w:r>
        <w:rPr>
          <w:i/>
          <w:vertAlign w:val="superscript"/>
          <w:lang w:val="en-US"/>
        </w:rPr>
        <w:t>4</w:t>
      </w:r>
      <w:r w:rsidR="004F62C6" w:rsidRPr="00F16C9B">
        <w:rPr>
          <w:i/>
          <w:lang w:val="en-US"/>
        </w:rPr>
        <w:t>Sarov branch of M.V. Lomonosov Moscow State University,</w:t>
      </w:r>
      <w:r>
        <w:rPr>
          <w:i/>
          <w:lang w:val="en-US"/>
        </w:rPr>
        <w:t xml:space="preserve"> </w:t>
      </w:r>
      <w:proofErr w:type="spellStart"/>
      <w:r w:rsidR="004F62C6" w:rsidRPr="00F16C9B">
        <w:rPr>
          <w:i/>
          <w:lang w:val="en-US"/>
        </w:rPr>
        <w:t>Sarov</w:t>
      </w:r>
      <w:proofErr w:type="spellEnd"/>
      <w:r w:rsidR="004F62C6" w:rsidRPr="00F16C9B">
        <w:rPr>
          <w:i/>
          <w:lang w:val="en-US"/>
        </w:rPr>
        <w:t>, Russia</w:t>
      </w:r>
      <w:r w:rsidR="004F62C6" w:rsidRPr="00F16C9B">
        <w:rPr>
          <w:lang w:val="en-US"/>
        </w:rPr>
        <w:t xml:space="preserve"> </w:t>
      </w:r>
      <w:r w:rsidR="004F62C6" w:rsidRPr="00A359A4">
        <w:rPr>
          <w:i/>
          <w:iCs/>
          <w:color w:val="000000"/>
          <w:shd w:val="clear" w:color="auto" w:fill="FFFFFF"/>
          <w:lang w:val="en-US"/>
        </w:rPr>
        <w:br/>
      </w:r>
      <w:r w:rsidR="004F62C6" w:rsidRPr="00A359A4">
        <w:rPr>
          <w:rStyle w:val="a3"/>
          <w:color w:val="000000"/>
          <w:shd w:val="clear" w:color="auto" w:fill="FFFFFF"/>
          <w:lang w:val="en-US"/>
        </w:rPr>
        <w:t>E–mail</w:t>
      </w:r>
      <w:r w:rsidR="004F62C6" w:rsidRPr="00A359A4">
        <w:rPr>
          <w:rStyle w:val="a3"/>
          <w:i w:val="0"/>
          <w:color w:val="000000"/>
          <w:shd w:val="clear" w:color="auto" w:fill="FFFFFF"/>
          <w:lang w:val="en-US"/>
        </w:rPr>
        <w:t xml:space="preserve">: </w:t>
      </w:r>
      <w:r w:rsidR="004F62C6" w:rsidRPr="00062450">
        <w:rPr>
          <w:rStyle w:val="a3"/>
          <w:color w:val="000000"/>
          <w:lang w:val="en-US"/>
        </w:rPr>
        <w:t>VAFilippov.phys@yandex.ru</w:t>
      </w:r>
    </w:p>
    <w:p w14:paraId="0C9083D4" w14:textId="77777777" w:rsidR="004F62C6" w:rsidRDefault="004F62C6" w:rsidP="004F62C6">
      <w:pPr>
        <w:ind w:firstLine="426"/>
        <w:rPr>
          <w:lang w:val="en-US"/>
        </w:rPr>
      </w:pPr>
      <w:r w:rsidRPr="00EE530B">
        <w:rPr>
          <w:lang w:val="en-US"/>
        </w:rPr>
        <w:t>The formalism of effective potentials has long been firmly established in quantum field theory</w:t>
      </w:r>
      <w:r>
        <w:rPr>
          <w:lang w:val="en-US"/>
        </w:rPr>
        <w:t xml:space="preserve"> </w:t>
      </w:r>
      <w:r w:rsidRPr="00EE530B">
        <w:rPr>
          <w:lang w:val="en-US"/>
        </w:rPr>
        <w:t>and has served as a significant boost for understanding various interactions. The pioneering work of</w:t>
      </w:r>
      <w:r>
        <w:rPr>
          <w:lang w:val="en-US"/>
        </w:rPr>
        <w:t xml:space="preserve"> </w:t>
      </w:r>
      <w:r w:rsidRPr="00EE530B">
        <w:rPr>
          <w:lang w:val="en-US"/>
        </w:rPr>
        <w:t>Coleman-Weinberg became a driver for the study of the mechanisms of spontaneous symmetry</w:t>
      </w:r>
      <w:r>
        <w:rPr>
          <w:lang w:val="en-US"/>
        </w:rPr>
        <w:t xml:space="preserve"> </w:t>
      </w:r>
      <w:r w:rsidRPr="00EE530B">
        <w:rPr>
          <w:lang w:val="en-US"/>
        </w:rPr>
        <w:t>breaking and found applications in elementary particle physics, cosmology, and condensed matter</w:t>
      </w:r>
      <w:r>
        <w:rPr>
          <w:lang w:val="en-US"/>
        </w:rPr>
        <w:t xml:space="preserve"> </w:t>
      </w:r>
      <w:r w:rsidRPr="00EE530B">
        <w:rPr>
          <w:lang w:val="en-US"/>
        </w:rPr>
        <w:t>physics. However, in spite of significant simplicity of the Coleman-Weinberg formalism, the</w:t>
      </w:r>
      <w:r>
        <w:rPr>
          <w:lang w:val="en-US"/>
        </w:rPr>
        <w:t xml:space="preserve"> </w:t>
      </w:r>
      <w:r w:rsidRPr="00EE530B">
        <w:rPr>
          <w:lang w:val="en-US"/>
        </w:rPr>
        <w:t xml:space="preserve">area of its applicability was limited only by </w:t>
      </w:r>
      <w:proofErr w:type="spellStart"/>
      <w:r w:rsidRPr="00EE530B">
        <w:rPr>
          <w:lang w:val="en-US"/>
        </w:rPr>
        <w:t>renormalisable</w:t>
      </w:r>
      <w:proofErr w:type="spellEnd"/>
      <w:r w:rsidRPr="00EE530B">
        <w:rPr>
          <w:lang w:val="en-US"/>
        </w:rPr>
        <w:t xml:space="preserve"> potentials.</w:t>
      </w:r>
    </w:p>
    <w:p w14:paraId="1F1E09B9" w14:textId="77777777" w:rsidR="004F62C6" w:rsidRDefault="004F62C6" w:rsidP="004F62C6">
      <w:pPr>
        <w:ind w:firstLine="426"/>
        <w:rPr>
          <w:lang w:val="en-US"/>
        </w:rPr>
      </w:pPr>
      <w:r w:rsidRPr="00EE530B">
        <w:rPr>
          <w:lang w:val="en-US"/>
        </w:rPr>
        <w:t xml:space="preserve">Nevertheless, it turns out that the </w:t>
      </w:r>
      <w:proofErr w:type="spellStart"/>
      <w:r w:rsidRPr="00EE530B">
        <w:rPr>
          <w:lang w:val="en-US"/>
        </w:rPr>
        <w:t>Bogoliubov-Parasyuk</w:t>
      </w:r>
      <w:proofErr w:type="spellEnd"/>
      <w:r w:rsidRPr="00EE530B">
        <w:rPr>
          <w:lang w:val="en-US"/>
        </w:rPr>
        <w:t xml:space="preserve"> theorem allows us to extend the</w:t>
      </w:r>
      <w:r>
        <w:rPr>
          <w:lang w:val="en-US"/>
        </w:rPr>
        <w:t xml:space="preserve"> </w:t>
      </w:r>
      <w:r w:rsidRPr="00EE530B">
        <w:rPr>
          <w:lang w:val="en-US"/>
        </w:rPr>
        <w:t>scope of the study of scalar models and, in general, to study scalar potentials of arbitrary kind</w:t>
      </w:r>
      <w:r>
        <w:rPr>
          <w:lang w:val="en-US"/>
        </w:rPr>
        <w:t xml:space="preserve"> </w:t>
      </w:r>
      <w:r w:rsidRPr="00EE530B">
        <w:rPr>
          <w:lang w:val="en-US"/>
        </w:rPr>
        <w:t>(even non</w:t>
      </w:r>
      <w:r>
        <w:rPr>
          <w:lang w:val="en-US"/>
        </w:rPr>
        <w:t xml:space="preserve"> </w:t>
      </w:r>
      <w:proofErr w:type="spellStart"/>
      <w:r w:rsidRPr="00EE530B">
        <w:rPr>
          <w:lang w:val="en-US"/>
        </w:rPr>
        <w:t>renormalisable</w:t>
      </w:r>
      <w:proofErr w:type="spellEnd"/>
      <w:r w:rsidRPr="00EE530B">
        <w:rPr>
          <w:lang w:val="en-US"/>
        </w:rPr>
        <w:t>)</w:t>
      </w:r>
      <w:r>
        <w:rPr>
          <w:lang w:val="en-US"/>
        </w:rPr>
        <w:t>.</w:t>
      </w:r>
    </w:p>
    <w:p w14:paraId="5E67D067" w14:textId="77777777" w:rsidR="004F62C6" w:rsidRDefault="004F62C6" w:rsidP="004F62C6">
      <w:pPr>
        <w:ind w:firstLine="426"/>
        <w:rPr>
          <w:lang w:val="en-US"/>
        </w:rPr>
      </w:pPr>
      <w:r w:rsidRPr="009937A6">
        <w:rPr>
          <w:lang w:val="en-US"/>
        </w:rPr>
        <w:t>Due to the application of the</w:t>
      </w:r>
      <w:r>
        <w:rPr>
          <w:lang w:val="en-US"/>
        </w:rPr>
        <w:t xml:space="preserve"> </w:t>
      </w:r>
      <w:proofErr w:type="spellStart"/>
      <w:r w:rsidRPr="009937A6">
        <w:rPr>
          <w:lang w:val="en-US"/>
        </w:rPr>
        <w:t>generalised</w:t>
      </w:r>
      <w:proofErr w:type="spellEnd"/>
      <w:r w:rsidRPr="009937A6">
        <w:rPr>
          <w:lang w:val="en-US"/>
        </w:rPr>
        <w:t xml:space="preserve"> </w:t>
      </w:r>
      <w:proofErr w:type="spellStart"/>
      <w:r w:rsidRPr="009937A6">
        <w:rPr>
          <w:lang w:val="en-US"/>
        </w:rPr>
        <w:t>renormalisation</w:t>
      </w:r>
      <w:proofErr w:type="spellEnd"/>
      <w:r w:rsidRPr="009937A6">
        <w:rPr>
          <w:lang w:val="en-US"/>
        </w:rPr>
        <w:t xml:space="preserve"> group (RG), it is possible to look a little further into quantum theory,</w:t>
      </w:r>
      <w:r>
        <w:rPr>
          <w:lang w:val="en-US"/>
        </w:rPr>
        <w:t xml:space="preserve"> </w:t>
      </w:r>
      <w:r w:rsidRPr="009937A6">
        <w:rPr>
          <w:lang w:val="en-US"/>
        </w:rPr>
        <w:t>which gives excellent opportunities for studying the effective potentials in various fields of physics</w:t>
      </w:r>
      <w:r>
        <w:rPr>
          <w:lang w:val="en-US"/>
        </w:rPr>
        <w:t>.</w:t>
      </w:r>
    </w:p>
    <w:p w14:paraId="7E72B4DB" w14:textId="73C4A957" w:rsidR="004F62C6" w:rsidRDefault="004F62C6" w:rsidP="00CB7BFA">
      <w:pPr>
        <w:ind w:firstLine="426"/>
        <w:rPr>
          <w:lang w:val="en-US"/>
        </w:rPr>
      </w:pPr>
      <w:r w:rsidRPr="00787A56">
        <w:rPr>
          <w:lang w:val="en-US"/>
        </w:rPr>
        <w:t xml:space="preserve">We have constructed quantum eﬀective potentials and used them to study slow-roll inﬂationary cosmology. We derived the </w:t>
      </w:r>
      <w:proofErr w:type="spellStart"/>
      <w:r w:rsidRPr="00787A56">
        <w:rPr>
          <w:lang w:val="en-US"/>
        </w:rPr>
        <w:t>generalised</w:t>
      </w:r>
      <w:proofErr w:type="spellEnd"/>
      <w:r w:rsidRPr="00787A56">
        <w:rPr>
          <w:lang w:val="en-US"/>
        </w:rPr>
        <w:t xml:space="preserve"> renormalization group equation for the eﬀective potential in the leading logarithmic approximation and applied it to evaluate the potentials of the simplest alpha-attractor models, which are often used in modern models of slow-roll inﬂation. We found that while the one-loop correction strongly aﬀects the potential, breaking its original symmetry, the contribution of higher loops </w:t>
      </w:r>
      <w:proofErr w:type="spellStart"/>
      <w:r w:rsidRPr="00787A56">
        <w:rPr>
          <w:lang w:val="en-US"/>
        </w:rPr>
        <w:t>smoothes</w:t>
      </w:r>
      <w:proofErr w:type="spellEnd"/>
      <w:r w:rsidRPr="00787A56">
        <w:rPr>
          <w:lang w:val="en-US"/>
        </w:rPr>
        <w:t xml:space="preserve"> the </w:t>
      </w:r>
      <w:proofErr w:type="spellStart"/>
      <w:r w:rsidRPr="00787A56">
        <w:rPr>
          <w:lang w:val="en-US"/>
        </w:rPr>
        <w:t>behaviour</w:t>
      </w:r>
      <w:proofErr w:type="spellEnd"/>
      <w:r w:rsidRPr="00787A56">
        <w:rPr>
          <w:lang w:val="en-US"/>
        </w:rPr>
        <w:t xml:space="preserve"> of the potential. However, unlike the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φ</m:t>
            </m:r>
          </m:e>
          <m:sup>
            <m:r>
              <w:rPr>
                <w:rFonts w:ascii="Cambria Math" w:hAnsi="Cambria Math"/>
                <w:lang w:val="en-US"/>
              </w:rPr>
              <m:t>4</m:t>
            </m:r>
          </m:sup>
        </m:sSup>
      </m:oMath>
      <w:r w:rsidRPr="002D71E3">
        <w:rPr>
          <w:lang w:val="en-US"/>
        </w:rPr>
        <w:t xml:space="preserve"> </w:t>
      </w:r>
      <w:r w:rsidRPr="00787A56">
        <w:rPr>
          <w:lang w:val="en-US"/>
        </w:rPr>
        <w:t>-</w:t>
      </w:r>
      <w:r>
        <w:rPr>
          <w:lang w:val="en-US"/>
        </w:rPr>
        <w:t xml:space="preserve"> </w:t>
      </w:r>
      <w:r w:rsidRPr="00787A56">
        <w:rPr>
          <w:lang w:val="en-US"/>
        </w:rPr>
        <w:t>case, we found that the eﬀective potentials preserve spontaneous symmetry breaking when summing all the leading corrections.</w:t>
      </w:r>
    </w:p>
    <w:p w14:paraId="7A2B3AB9" w14:textId="77777777" w:rsidR="00CB7BFA" w:rsidRPr="00CB7BFA" w:rsidRDefault="00CB7BFA" w:rsidP="00CB7BFA">
      <w:pPr>
        <w:ind w:firstLine="426"/>
        <w:rPr>
          <w:lang w:val="en-US"/>
        </w:rPr>
      </w:pPr>
    </w:p>
    <w:p w14:paraId="11911FA9" w14:textId="7E25BA90" w:rsidR="004F62C6" w:rsidRPr="00057723" w:rsidRDefault="00D73BF6" w:rsidP="004F62C6">
      <w:pPr>
        <w:ind w:firstLine="426"/>
        <w:jc w:val="center"/>
        <w:rPr>
          <w:b/>
        </w:rPr>
      </w:pPr>
      <w:proofErr w:type="spellStart"/>
      <w:r w:rsidRPr="00D73BF6">
        <w:rPr>
          <w:b/>
          <w:color w:val="000000"/>
          <w:shd w:val="clear" w:color="auto" w:fill="FFFFFF"/>
        </w:rPr>
        <w:t>References</w:t>
      </w:r>
      <w:proofErr w:type="spellEnd"/>
    </w:p>
    <w:p w14:paraId="077851AB" w14:textId="116299D0" w:rsidR="004F62C6" w:rsidRDefault="00D73BF6" w:rsidP="004F62C6">
      <w:pPr>
        <w:pStyle w:val="a7"/>
        <w:numPr>
          <w:ilvl w:val="0"/>
          <w:numId w:val="1"/>
        </w:numPr>
        <w:ind w:left="0" w:firstLine="426"/>
        <w:rPr>
          <w:szCs w:val="20"/>
          <w:lang w:val="en-US"/>
        </w:rPr>
      </w:pPr>
      <w:r w:rsidRPr="00D73BF6">
        <w:rPr>
          <w:szCs w:val="20"/>
          <w:lang w:val="en-US"/>
        </w:rPr>
        <w:t xml:space="preserve">D.I. Kazakov, R.M. </w:t>
      </w:r>
      <w:proofErr w:type="spellStart"/>
      <w:r w:rsidRPr="00D73BF6">
        <w:rPr>
          <w:szCs w:val="20"/>
          <w:lang w:val="en-US"/>
        </w:rPr>
        <w:t>Iakhibbaev</w:t>
      </w:r>
      <w:proofErr w:type="spellEnd"/>
      <w:r w:rsidRPr="00D73BF6">
        <w:rPr>
          <w:szCs w:val="20"/>
          <w:lang w:val="en-US"/>
        </w:rPr>
        <w:t xml:space="preserve"> and D.M. </w:t>
      </w:r>
      <w:proofErr w:type="spellStart"/>
      <w:r w:rsidRPr="00D73BF6">
        <w:rPr>
          <w:szCs w:val="20"/>
          <w:lang w:val="en-US"/>
        </w:rPr>
        <w:t>Tolkachev</w:t>
      </w:r>
      <w:proofErr w:type="spellEnd"/>
      <w:r w:rsidRPr="00D73BF6">
        <w:rPr>
          <w:szCs w:val="20"/>
          <w:lang w:val="en-US"/>
        </w:rPr>
        <w:t xml:space="preserve">, Leading all-loop quantum contribution to the effective potential in general scalar field theory, JHEP 04 (2023) 128 </w:t>
      </w:r>
      <w:r w:rsidR="004F62C6" w:rsidRPr="00D73BF6">
        <w:rPr>
          <w:szCs w:val="20"/>
          <w:lang w:val="en-US"/>
        </w:rPr>
        <w:t xml:space="preserve"> </w:t>
      </w:r>
    </w:p>
    <w:p w14:paraId="6A84500D" w14:textId="77777777" w:rsidR="00D73BF6" w:rsidRPr="00D73BF6" w:rsidRDefault="00D73BF6" w:rsidP="00D73BF6">
      <w:pPr>
        <w:pStyle w:val="a7"/>
        <w:numPr>
          <w:ilvl w:val="0"/>
          <w:numId w:val="1"/>
        </w:numPr>
        <w:ind w:left="0" w:firstLine="426"/>
        <w:rPr>
          <w:szCs w:val="20"/>
          <w:lang w:val="en-US"/>
        </w:rPr>
      </w:pPr>
      <w:r w:rsidRPr="00D73BF6">
        <w:rPr>
          <w:szCs w:val="20"/>
          <w:lang w:val="en-US"/>
        </w:rPr>
        <w:t xml:space="preserve">D.I. Kazakov, R.M. </w:t>
      </w:r>
      <w:proofErr w:type="spellStart"/>
      <w:r w:rsidRPr="00D73BF6">
        <w:rPr>
          <w:szCs w:val="20"/>
          <w:lang w:val="en-US"/>
        </w:rPr>
        <w:t>Iakhibbaev</w:t>
      </w:r>
      <w:proofErr w:type="spellEnd"/>
      <w:r w:rsidRPr="00D73BF6">
        <w:rPr>
          <w:szCs w:val="20"/>
          <w:lang w:val="en-US"/>
        </w:rPr>
        <w:t xml:space="preserve"> and D.M. </w:t>
      </w:r>
      <w:proofErr w:type="spellStart"/>
      <w:r w:rsidRPr="00D73BF6">
        <w:rPr>
          <w:szCs w:val="20"/>
          <w:lang w:val="en-US"/>
        </w:rPr>
        <w:t>Tolkachev</w:t>
      </w:r>
      <w:proofErr w:type="spellEnd"/>
      <w:r w:rsidRPr="00D73BF6">
        <w:rPr>
          <w:szCs w:val="20"/>
          <w:lang w:val="en-US"/>
        </w:rPr>
        <w:t xml:space="preserve">, Leading all-loop quantum </w:t>
      </w:r>
      <w:proofErr w:type="spellStart"/>
      <w:r w:rsidRPr="00D73BF6">
        <w:rPr>
          <w:szCs w:val="20"/>
          <w:lang w:val="en-US"/>
        </w:rPr>
        <w:t>contributionto</w:t>
      </w:r>
      <w:proofErr w:type="spellEnd"/>
      <w:r w:rsidRPr="00D73BF6">
        <w:rPr>
          <w:szCs w:val="20"/>
          <w:lang w:val="en-US"/>
        </w:rPr>
        <w:t xml:space="preserve"> the effective potential in the inflationary cosmology, JCAP 09 (2023) 049</w:t>
      </w:r>
    </w:p>
    <w:p w14:paraId="3B8DB86C" w14:textId="7D56520E" w:rsidR="00787A56" w:rsidRPr="00197441" w:rsidRDefault="00D73BF6" w:rsidP="00197441">
      <w:pPr>
        <w:pStyle w:val="a7"/>
        <w:numPr>
          <w:ilvl w:val="0"/>
          <w:numId w:val="1"/>
        </w:numPr>
        <w:ind w:left="0" w:firstLine="426"/>
        <w:rPr>
          <w:szCs w:val="20"/>
          <w:lang w:val="en-US"/>
        </w:rPr>
      </w:pPr>
      <w:proofErr w:type="spellStart"/>
      <w:r w:rsidRPr="00D73BF6">
        <w:rPr>
          <w:szCs w:val="20"/>
          <w:lang w:val="en-US"/>
        </w:rPr>
        <w:t>Tolkachev</w:t>
      </w:r>
      <w:proofErr w:type="spellEnd"/>
      <w:r w:rsidRPr="00D73BF6">
        <w:rPr>
          <w:szCs w:val="20"/>
          <w:lang w:val="en-US"/>
        </w:rPr>
        <w:t xml:space="preserve"> D.M., Kazakov D.I., </w:t>
      </w:r>
      <w:proofErr w:type="spellStart"/>
      <w:r w:rsidRPr="00D73BF6">
        <w:rPr>
          <w:szCs w:val="20"/>
          <w:lang w:val="en-US"/>
        </w:rPr>
        <w:t>Iakhibbaev</w:t>
      </w:r>
      <w:proofErr w:type="spellEnd"/>
      <w:r w:rsidRPr="00D73BF6">
        <w:rPr>
          <w:szCs w:val="20"/>
          <w:lang w:val="en-US"/>
        </w:rPr>
        <w:t xml:space="preserve"> R.M. and Filippov V.A., Quantum corrections to effective potentials of simplest </w:t>
      </w:r>
      <w:r w:rsidRPr="00D73BF6">
        <w:rPr>
          <w:rFonts w:ascii="Cambria Math" w:hAnsi="Cambria Math" w:cs="Cambria Math"/>
          <w:szCs w:val="20"/>
          <w:lang w:val="en-US"/>
        </w:rPr>
        <w:t>𝜶</w:t>
      </w:r>
      <w:r w:rsidRPr="00D73BF6">
        <w:rPr>
          <w:szCs w:val="20"/>
          <w:lang w:val="en-US"/>
        </w:rPr>
        <w:t>-attractors, POS (2024)</w:t>
      </w:r>
    </w:p>
    <w:sectPr w:rsidR="00787A56" w:rsidRPr="00197441" w:rsidSect="00505B81">
      <w:footerReference w:type="even" r:id="rId7"/>
      <w:footerReference w:type="default" r:id="rId8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1D833" w14:textId="77777777" w:rsidR="00505B81" w:rsidRDefault="00505B81">
      <w:r>
        <w:separator/>
      </w:r>
    </w:p>
  </w:endnote>
  <w:endnote w:type="continuationSeparator" w:id="0">
    <w:p w14:paraId="466BD8E7" w14:textId="77777777" w:rsidR="00505B81" w:rsidRDefault="0050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B43C" w14:textId="77777777" w:rsidR="00A62CD4" w:rsidRDefault="00000000" w:rsidP="007C425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6CC3498" w14:textId="77777777" w:rsidR="00A62CD4" w:rsidRDefault="00A62CD4" w:rsidP="0010191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D521" w14:textId="77777777" w:rsidR="00A62CD4" w:rsidRDefault="00A62CD4" w:rsidP="0010191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05450" w14:textId="77777777" w:rsidR="00505B81" w:rsidRDefault="00505B81">
      <w:r>
        <w:separator/>
      </w:r>
    </w:p>
  </w:footnote>
  <w:footnote w:type="continuationSeparator" w:id="0">
    <w:p w14:paraId="75788E72" w14:textId="77777777" w:rsidR="00505B81" w:rsidRDefault="00505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734766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D1"/>
    <w:rsid w:val="000F11AC"/>
    <w:rsid w:val="00197441"/>
    <w:rsid w:val="001C2B02"/>
    <w:rsid w:val="002B7316"/>
    <w:rsid w:val="002C3A85"/>
    <w:rsid w:val="003052B6"/>
    <w:rsid w:val="004F62C6"/>
    <w:rsid w:val="00505B81"/>
    <w:rsid w:val="00787A56"/>
    <w:rsid w:val="009770FF"/>
    <w:rsid w:val="009937A6"/>
    <w:rsid w:val="009D56C8"/>
    <w:rsid w:val="00A13D4F"/>
    <w:rsid w:val="00A14FD1"/>
    <w:rsid w:val="00A62CD4"/>
    <w:rsid w:val="00AE17F0"/>
    <w:rsid w:val="00CB7BFA"/>
    <w:rsid w:val="00CC3F5C"/>
    <w:rsid w:val="00D73BF6"/>
    <w:rsid w:val="00DC46C1"/>
    <w:rsid w:val="00EE530B"/>
    <w:rsid w:val="00F1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F3974"/>
  <w15:chartTrackingRefBased/>
  <w15:docId w15:val="{8D5CF284-E2BD-40F5-A6E6-43BDC817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2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F62C6"/>
    <w:rPr>
      <w:i/>
      <w:iCs/>
    </w:rPr>
  </w:style>
  <w:style w:type="paragraph" w:styleId="a4">
    <w:name w:val="footer"/>
    <w:basedOn w:val="a"/>
    <w:link w:val="a5"/>
    <w:rsid w:val="004F62C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F62C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page number"/>
    <w:basedOn w:val="a0"/>
    <w:rsid w:val="004F62C6"/>
  </w:style>
  <w:style w:type="paragraph" w:styleId="a7">
    <w:name w:val="List Paragraph"/>
    <w:basedOn w:val="a"/>
    <w:uiPriority w:val="34"/>
    <w:qFormat/>
    <w:rsid w:val="004F62C6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4F62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5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Cry</dc:creator>
  <cp:keywords/>
  <dc:description/>
  <cp:lastModifiedBy>Ali Cry</cp:lastModifiedBy>
  <cp:revision>7</cp:revision>
  <dcterms:created xsi:type="dcterms:W3CDTF">2024-02-15T13:05:00Z</dcterms:created>
  <dcterms:modified xsi:type="dcterms:W3CDTF">2024-02-15T14:02:00Z</dcterms:modified>
</cp:coreProperties>
</file>