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rPr>
          <w:b/>
          <w:bCs/>
          <w:sz w:val="24"/>
          <w:szCs w:val="24"/>
          <w:highlight w:val="none"/>
          <w14:ligatures w14:val="none"/>
        </w:rPr>
        <w:suppressLineNumbers w:val="0"/>
      </w:pPr>
      <w:r>
        <w:rPr>
          <w:b/>
          <w:bCs/>
          <w:sz w:val="24"/>
          <w:szCs w:val="24"/>
          <w14:ligatures w14:val="none"/>
        </w:rPr>
        <w:t xml:space="preserve">Применение нейронных сетей для вычисления функциональных интегралов в квантовой теории поля</w:t>
      </w:r>
      <w:r>
        <w:rPr>
          <w:b/>
          <w:bCs/>
          <w:sz w:val="24"/>
          <w:szCs w:val="24"/>
          <w14:ligatures w14:val="none"/>
        </w:rPr>
      </w:r>
    </w:p>
    <w:p>
      <w:pPr>
        <w:ind w:left="0"/>
        <w:jc w:val="center"/>
        <w:rPr>
          <w:b/>
          <w:bCs/>
          <w:i/>
          <w:sz w:val="24"/>
          <w:szCs w:val="24"/>
          <w:highlight w:val="none"/>
          <w:vertAlign w:val="superscript"/>
          <w14:ligatures w14:val="none"/>
        </w:rPr>
        <w:suppressLineNumbers w:val="0"/>
      </w:pPr>
      <w:r>
        <w:rPr>
          <w:b/>
          <w:bCs/>
          <w:i/>
          <w:iCs/>
          <w:sz w:val="24"/>
          <w:szCs w:val="24"/>
          <w:highlight w:val="none"/>
          <w14:ligatures w14:val="none"/>
        </w:rPr>
        <w:t xml:space="preserve">Васильев А.В. Иванов А.С. Сальников Д.В. Чистяков В.В.</w:t>
      </w:r>
      <w:r>
        <w:rPr>
          <w:b/>
          <w:bCs/>
          <w:i/>
          <w:iCs/>
          <w:sz w:val="24"/>
          <w:szCs w:val="24"/>
          <w:highlight w:val="none"/>
          <w:vertAlign w:val="superscript"/>
          <w14:ligatures w14:val="none"/>
        </w:rPr>
        <w:t xml:space="preserve">1</w:t>
      </w:r>
      <w:r>
        <w:rPr>
          <w:b/>
          <w:bCs/>
          <w:i/>
          <w:sz w:val="24"/>
          <w:szCs w:val="24"/>
          <w:vertAlign w:val="superscript"/>
          <w14:ligatures w14:val="none"/>
        </w:rPr>
      </w:r>
    </w:p>
    <w:p>
      <w:pPr>
        <w:ind w:left="0"/>
        <w:jc w:val="center"/>
        <w:rPr>
          <w:b w:val="0"/>
          <w:bCs w:val="0"/>
          <w:i w:val="0"/>
          <w:sz w:val="24"/>
          <w:szCs w:val="24"/>
          <w:highlight w:val="none"/>
          <w:vertAlign w:val="superscript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Студент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  <w14:ligatures w14:val="none"/>
        </w:rPr>
        <w:t xml:space="preserve">1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  <w14:ligatures w14:val="none"/>
        </w:rPr>
      </w:r>
    </w:p>
    <w:p>
      <w:pPr>
        <w:ind w:left="0"/>
        <w:jc w:val="center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Московский Государственный университет имени М.В. Ломоносова,</w:t>
      </w:r>
      <w:r>
        <w:rPr>
          <w:b w:val="0"/>
          <w:bCs w:val="0"/>
          <w:i w:val="0"/>
          <w:sz w:val="24"/>
          <w:szCs w:val="24"/>
          <w14:ligatures w14:val="none"/>
        </w:rPr>
      </w:r>
    </w:p>
    <w:p>
      <w:pPr>
        <w:ind w:left="0"/>
        <w:jc w:val="center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Физический факультет, Москва, Россия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center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i/>
          <w:color w:val="353535"/>
          <w:sz w:val="24"/>
          <w:szCs w:val="24"/>
          <w:highlight w:val="white"/>
        </w:rPr>
        <w:t xml:space="preserve">E–mail: </w:t>
      </w:r>
      <w:r>
        <w:rPr>
          <w:rFonts w:ascii="Liberation Sans" w:hAnsi="Liberation Sans" w:eastAsia="Liberation Sans" w:cs="Liberation Sans"/>
          <w:i/>
          <w:color w:val="353535"/>
          <w:sz w:val="24"/>
          <w:szCs w:val="24"/>
          <w:highlight w:val="none"/>
        </w:rPr>
      </w:r>
      <w:hyperlink r:id="rId8" w:tooltip="mailto:vsevolod.chistyakov@gmail.com" w:history="1">
        <w:r>
          <w:rPr>
            <w:rStyle w:val="812"/>
            <w:rFonts w:ascii="Liberation Sans" w:hAnsi="Liberation Sans" w:eastAsia="Liberation Sans" w:cs="Liberation Sans"/>
            <w:i/>
            <w:sz w:val="24"/>
            <w:szCs w:val="24"/>
            <w:highlight w:val="none"/>
          </w:rPr>
          <w:t xml:space="preserve">vsevolod.chistyakov@gmail.com</w:t>
        </w:r>
        <w:r>
          <w:rPr>
            <w:rStyle w:val="812"/>
            <w:b w:val="0"/>
            <w:bCs w:val="0"/>
            <w:i w:val="0"/>
            <w:iCs w:val="0"/>
            <w:sz w:val="24"/>
            <w:szCs w:val="24"/>
            <w:highlight w:val="none"/>
            <w14:ligatures w14:val="none"/>
          </w:rPr>
        </w:r>
        <w:r>
          <w:rPr>
            <w:rStyle w:val="812"/>
            <w:b w:val="0"/>
            <w:bCs w:val="0"/>
            <w:i w:val="0"/>
            <w:iCs w:val="0"/>
            <w:sz w:val="24"/>
            <w:szCs w:val="24"/>
            <w:highlight w:val="none"/>
            <w14:ligatures w14:val="none"/>
          </w:rPr>
        </w:r>
      </w:hyperlink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Проблема вычисления наблюдаемых величин в квантовой механике (КМ) и квантовой теории поля (КТП) является актуальной задачей современной теоретической физики. Существует несколько подходов для описания моделей КМ и КТП. Одним из таких подходов является форма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лизм функциональных интегралов [1], [2]. С помощью функциональных интегралов удается формально записать аналитические выражения для наблюдаемых величин, однако выполнить аналитические вычисления удается только в исключительных случаях. В общем случае исполь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зуются пертурбативные и численные непертурбативные приближенные методы. Одним из непертурбативных методов вычисления функциональных интегралов является метод Монте-Карло для функциональных интегралов (МКФИ) [3]. В методе МКФИ исходный функциональный интегра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л аппроксимируется конечномерным кратным интегралом в Евклидовом пространстве-времени.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Для вычисления среднего значения оператора </w:t>
      </w:r>
      <m:oMath>
        <m:acc>
          <m:acc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acc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F</m:t>
            </m:r>
          </m:e>
        </m:acc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методом МКФИ производится аппроксимация кратным интегралом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r>
          <w:rPr>
            <w:rFonts w:ascii="Cambria Math" w:hAnsi="Cambria Math" w:eastAsia="Cambria Math" w:cs="Cambria Math"/>
            <w:sz w:val="24"/>
            <w:szCs w:val="24"/>
          </w:rPr>
          <m:rPr/>
          <m:t>&lt;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F </m:t>
        </m:r>
        <m:d>
          <m:dPr>
            <m:begChr m:val="("/>
            <m:endChr m:val=")"/>
            <m:ctrlPr>
              <w:rPr>
                <w:rFonts w:hint="default" w:ascii="Cambria Math" w:hAnsi="Cambria Math" w:eastAsia="Cambria Math" w:cs="Cambria Math"/>
                <w:sz w:val="24"/>
              </w:rPr>
            </m:ctrlPr>
          </m:dPr>
          <m:e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x</m:t>
            </m:r>
          </m:e>
        </m:d>
        <m:r>
          <w:rPr>
            <w:rFonts w:ascii="Cambria Math" w:hAnsi="Cambria Math" w:eastAsia="Cambria Math" w:cs="Cambria Math"/>
            <w:sz w:val="24"/>
            <w:szCs w:val="24"/>
          </w:rPr>
          <m:rPr/>
          <m:t>&gt;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 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=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 </m:t>
        </m:r>
        <m:nary>
          <m:naryPr>
            <m:grow m:val="off"/>
            <m:limLoc m:val="undOvr"/>
            <m:subHide m:val="on"/>
            <m:supHide m:val="on"/>
            <m:ctrlPr>
              <w:rPr>
                <w:rFonts w:hint="default" w:ascii="Cambria Math" w:hAnsi="Cambria Math" w:eastAsia="Cambria Math" w:cs="Cambria Math"/>
                <w:i/>
                <w:sz w:val="24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F</m:t>
            </m:r>
            <m:d>
              <m:dPr>
                <m:begChr m:val="("/>
                <m:endChr m:val=")"/>
                <m:ctrlPr>
                  <w:rPr>
                    <w:rFonts w:hint="default" w:ascii="Cambria Math" w:hAnsi="Cambria Math" w:eastAsia="Cambria Math" w:cs="Cambria Math"/>
                    <w:sz w:val="24"/>
                  </w:rPr>
                </m:ctrlPr>
              </m:dPr>
              <m:e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rPr/>
                  <m:t>x</m:t>
                </m:r>
              </m:e>
            </m:d>
            <m:f>
              <m:fPr>
                <m:ctrlPr>
                  <w:rPr>
                    <w:rFonts w:hint="default" w:ascii="Cambria Math" w:hAnsi="Cambria Math" w:eastAsia="Cambria Math" w:cs="Cambria Math"/>
                    <w:i/>
                    <w:sz w:val="24"/>
                  </w:rPr>
                </m:ctrlPr>
              </m:fPr>
              <m:num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1</m:t>
                </m:r>
              </m:num>
              <m:den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Z</m:t>
                </m:r>
              </m:den>
            </m:f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exp</m:t>
            </m:r>
            <m:d>
              <m:dPr>
                <m:begChr m:val="("/>
                <m:endChr m:val=")"/>
                <m:ctrlPr>
                  <w:rPr>
                    <w:rFonts w:hint="default" w:ascii="Cambria Math" w:hAnsi="Cambria Math" w:eastAsia="Cambria Math" w:cs="Cambria Math"/>
                    <w:sz w:val="24"/>
                  </w:rPr>
                </m:ctrlPr>
              </m:dPr>
              <m:e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rPr/>
                  <m:t>-</m:t>
                </m:r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rPr/>
                  <m:t>S</m:t>
                </m:r>
                <m:d>
                  <m:dPr>
                    <m:begChr m:val="("/>
                    <m:endChr m:val=")"/>
                    <m:ctrlPr>
                      <w:rPr>
                        <w:rFonts w:hint="default" w:ascii="Cambria Math" w:hAnsi="Cambria Math" w:eastAsia="Cambria Math" w:cs="Cambria Math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eastAsia="Cambria Math" w:cs="Cambria Math"/>
                        <w:sz w:val="24"/>
                        <w:szCs w:val="24"/>
                      </w:rPr>
                      <m:rPr/>
                      <m:t>x</m:t>
                    </m:r>
                  </m:e>
                </m:d>
              </m:e>
            </m:d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 </m:t>
            </m:r>
            <m:sSup>
              <m:sSupPr>
                <m:ctrlPr>
                  <w:rPr>
                    <w:rFonts w:hint="default" w:ascii="Cambria Math" w:hAnsi="Cambria Math" w:eastAsia="Cambria Math" w:cs="Cambria Math"/>
                    <w:i/>
                    <w:sz w:val="24"/>
                  </w:rPr>
                </m:ctrlPr>
              </m:sSupPr>
              <m:e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d</m:t>
                </m:r>
              </m:e>
              <m:sup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n</m:t>
                </m:r>
              </m:sup>
            </m:sSup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x</m:t>
            </m:r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 </m:t>
            </m:r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=</m:t>
            </m:r>
            <m:f>
              <m:fPr>
                <m:ctrlPr>
                  <w:rPr>
                    <w:rFonts w:hint="default" w:ascii="Cambria Math" w:hAnsi="Cambria Math" w:eastAsia="Cambria Math" w:cs="Cambria Math"/>
                    <w:i/>
                    <w:sz w:val="24"/>
                  </w:rPr>
                </m:ctrlPr>
              </m:fPr>
              <m:num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1</m:t>
                </m:r>
              </m:num>
              <m:den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M</m:t>
                </m:r>
              </m:den>
            </m:f>
            <m:nary>
              <m:naryPr>
                <m:chr m:val="∑"/>
                <m:grow m:val="off"/>
                <m:limLoc m:val="undOvr"/>
                <m:ctrlPr>
                  <w:rPr>
                    <w:rFonts w:hint="default" w:ascii="Cambria Math" w:hAnsi="Cambria Math" w:eastAsia="Cambria Math" w:cs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rPr/>
                  <m:t>i</m:t>
                </m:r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rPr/>
                  <m:t>=1</m:t>
                </m:r>
              </m:sub>
              <m:sup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M</m:t>
                </m:r>
              </m:sup>
              <m:e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F(</m:t>
                </m:r>
                <m:sSub>
                  <m:sSubPr>
                    <m:ctrlPr>
                      <w:rPr>
                        <w:rFonts w:hint="default" w:ascii="Cambria Math" w:hAnsi="Cambria Math" w:eastAsia="Cambria Math" w:cs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</w:rPr>
                      <m:rPr>
                        <m:sty m:val="i"/>
                      </m:rPr>
                      <m:t>X</m:t>
                    </m:r>
                  </m:e>
                  <m:sub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</w:rPr>
                      <m:rPr>
                        <m:sty m:val="i"/>
                      </m:rPr>
                      <m:t>i</m:t>
                    </m:r>
                  </m:sub>
                </m:sSub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i"/>
                  </m:rPr>
                  <m:t>)</m:t>
                </m:r>
              </m:e>
            </m:nary>
          </m:e>
        </m:nary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где </w:t>
      </w:r>
      <m:oMath>
        <m:d>
          <m:dPr>
            <m:begChr m:val="{"/>
            <m:endChr m:val="}"/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i/>
                    <w:strike w:val="0"/>
                    <w:sz w:val="24"/>
                    <w:highlight w:val="none"/>
                    <w:u w:val="non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caps w:val="0"/>
                    <w:smallCaps w:val="0"/>
                    <w:strike w:val="0"/>
                    <w:color w:val="auto"/>
                    <w:spacing w:val="0"/>
                    <w:position w:val="0"/>
                    <w:sz w:val="24"/>
                    <w:szCs w:val="24"/>
                    <w:highlight w:val="none"/>
                    <w:u w:val="none"/>
                    <w:vertAlign w:val="baseline"/>
                    <w:lang w:val="ru-RU" w:eastAsia="en-US" w:bidi="ar-SA"/>
                    <w14:ligatures w14:val="none"/>
                  </w:rPr>
                  <m:rPr>
                    <m:sty m:val="i"/>
                  </m:rPr>
                  <m:t>X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trike w:val="0"/>
                    <w:sz w:val="24"/>
                    <w:szCs w:val="24"/>
                    <w:highlight w:val="none"/>
                    <w:u w:val="none"/>
                  </w:rPr>
                  <m:rPr>
                    <m:sty m:val="i"/>
                  </m:rPr>
                  <m:t>i</m:t>
                </m:r>
              </m:sub>
            </m:sSub>
          </m:e>
        </m:d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— набор траекторий (выборка размера M), имеющих распределение с плотностью вероятности</w:t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</w:t>
      </w:r>
      <m:oMath>
        <m:r>
          <w:rPr>
            <w:rFonts w:ascii="Cambria Math" w:hAnsi="Cambria Math" w:eastAsia="Cambria Math" w:cs="Cambria Math"/>
            <w:sz w:val="24"/>
            <w:szCs w:val="24"/>
          </w:rPr>
          <m:rPr/>
          <m:t>P</m:t>
        </m:r>
        <m:d>
          <m:dPr>
            <m:begChr m:val="("/>
            <m:endChr m:val=")"/>
            <m:ctrlPr>
              <w:rPr>
                <w:rFonts w:hint="default" w:ascii="Cambria Math" w:hAnsi="Cambria Math" w:eastAsia="Cambria Math" w:cs="Cambria Math"/>
                <w:sz w:val="24"/>
              </w:rPr>
            </m:ctrlPr>
          </m:dPr>
          <m:e>
            <m:r>
              <w:rPr>
                <w:rFonts w:ascii="Cambria Math" w:hAnsi="Cambria Math" w:eastAsia="Cambria Math" w:cs="Cambria Math"/>
                <w:sz w:val="24"/>
                <w:szCs w:val="24"/>
              </w:rPr>
              <m:rPr/>
              <m:t>x</m:t>
            </m:r>
          </m:e>
        </m:d>
        <m:r>
          <w:rPr>
            <w:rFonts w:ascii="Cambria Math" w:hAnsi="Cambria Math" w:eastAsia="Cambria Math" w:cs="Cambria Math"/>
            <w:sz w:val="24"/>
            <w:szCs w:val="24"/>
          </w:rPr>
          <m:rPr/>
          <m:t>=</m:t>
        </m:r>
        <m:f>
          <m:fPr>
            <m:ctrlPr>
              <w:rPr>
                <w:rFonts w:hint="default" w:ascii="Cambria Math" w:hAnsi="Cambria Math" w:eastAsia="Cambria Math" w:cs="Cambria Math"/>
                <w:i/>
                <w:sz w:val="24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4"/>
                <w:szCs w:val="24"/>
              </w:rPr>
              <m:rPr>
                <m:sty m:val="i"/>
              </m:rPr>
              <m:t>1</m:t>
            </m:r>
          </m:num>
          <m:den>
            <m:r>
              <w:rPr>
                <w:rFonts w:hint="default" w:ascii="Cambria Math" w:hAnsi="Cambria Math" w:eastAsia="Cambria Math" w:cs="Cambria Math"/>
                <w:sz w:val="24"/>
                <w:szCs w:val="24"/>
              </w:rPr>
              <m:rPr>
                <m:sty m:val="i"/>
              </m:rPr>
              <m:t>Z</m:t>
            </m:r>
          </m:den>
        </m:f>
        <m:r>
          <w:rPr>
            <w:rFonts w:ascii="Cambria Math" w:hAnsi="Cambria Math" w:eastAsia="Cambria Math" w:cs="Cambria Math"/>
            <w:sz w:val="24"/>
            <w:szCs w:val="24"/>
          </w:rPr>
          <m:rPr/>
          <m:t>exp(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-S(x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)</m:t>
        </m:r>
        <m:r>
          <w:rPr>
            <w:rFonts w:ascii="Cambria Math" w:hAnsi="Cambria Math" w:eastAsia="Cambria Math" w:cs="Cambria Math"/>
            <w:sz w:val="24"/>
            <w:szCs w:val="24"/>
          </w:rPr>
          <m:rPr/>
          <m:t>)</m:t>
        </m:r>
      </m:oMath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где S(x) - некоторый функционал на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R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n</m:t>
            </m:r>
          </m:sup>
        </m:sSup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, определяемый гамильтонианом модели. 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Ошибка вычисления является стохастической и может регулироваться увеличением числа траекторий - числа M. Генерирование выборки может быть выполнено с помощью алгоритма Метрополиса [3]. 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В данной работе производится вычисление двухточечной корреляционной функции  </w:t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G(s)=&lt;</m:t>
        </m:r>
        <m:sSub>
          <m:sSub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x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i</m:t>
            </m:r>
          </m:sub>
        </m:sSub>
        <m:sSub>
          <m:sSub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x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i+s</m:t>
            </m:r>
          </m:sub>
        </m:sSub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&gt;</m:t>
        </m:r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в моделях релятивистской квантовой механики.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Для генерации выборки </w:t>
      </w:r>
      <m:oMath>
        <m:d>
          <m:dPr>
            <m:begChr m:val="{"/>
            <m:endChr m:val="}"/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i/>
                    <w:strike w:val="0"/>
                    <w:sz w:val="24"/>
                    <w:highlight w:val="none"/>
                    <w:u w:val="non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caps w:val="0"/>
                    <w:smallCaps w:val="0"/>
                    <w:strike w:val="0"/>
                    <w:color w:val="auto"/>
                    <w:spacing w:val="0"/>
                    <w:position w:val="0"/>
                    <w:sz w:val="24"/>
                    <w:szCs w:val="24"/>
                    <w:highlight w:val="none"/>
                    <w:u w:val="none"/>
                    <w:vertAlign w:val="baseline"/>
                    <w:lang w:val="ru-RU" w:eastAsia="en-US" w:bidi="ar-SA"/>
                    <w14:ligatures w14:val="none"/>
                  </w:rPr>
                  <m:rPr>
                    <m:sty m:val="i"/>
                  </m:rPr>
                  <m:t>X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trike w:val="0"/>
                    <w:sz w:val="24"/>
                    <w:szCs w:val="24"/>
                    <w:highlight w:val="none"/>
                    <w:u w:val="none"/>
                  </w:rPr>
                  <m:rPr>
                    <m:sty m:val="i"/>
                  </m:rPr>
                  <m:t>i</m:t>
                </m:r>
              </m:sub>
            </m:sSub>
          </m:e>
        </m:d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можно использовать также алгоритмы машинного обучения, схожие с теми,  что применяются для генерации изображений [5]. А именно, используется алгоритм нормализующего потока (normalizing flow) [6]. В рамках этого алгоритма стро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ится отображение (n — число узлов решётки </w:t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n~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10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1</m:t>
            </m:r>
          </m:sup>
        </m:sSup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- 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10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2</m:t>
            </m:r>
          </m:sup>
        </m:sSup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)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g: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R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n</m:t>
            </m:r>
          </m:sup>
        </m:sSup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→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R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n</m:t>
            </m:r>
          </m:sup>
        </m:sSup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такое, что если </w:t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z~N(0,1)</m:t>
        </m:r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, то </w:t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x=g(z),   x~P(x)</m:t>
        </m:r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Для построения отображения g(z) используются нейронные сети. В простейшем случае g можно представить в виде композиции аффинных преобразований, к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оэффициенты которых аппроксимируются с помощью нейронных сетей. Преобразование g зависит от некоторого числа параметров (весов).</w:t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ab/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g=g(z|w)     w</m:t>
        </m:r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∈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R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K</m:t>
            </m:r>
          </m:sup>
        </m:sSup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   K~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10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6</m:t>
            </m:r>
          </m:sup>
        </m:sSup>
        <m:r>
          <w:rPr>
            <w:rFonts w:hint="default" w:ascii="Cambria Math" w:hAnsi="Cambria Math" w:eastAsia="Cambria Math" w:cs="Cambria Math"/>
            <w:sz w:val="24"/>
            <w:szCs w:val="24"/>
            <w:highlight w:val="none"/>
            <w14:ligatures w14:val="none"/>
          </w:rPr>
          <m:rPr>
            <m:sty m:val="i"/>
          </m:rPr>
          <m:t>-</m:t>
        </m:r>
        <m:sSup>
          <m:sSup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p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10</m:t>
            </m:r>
          </m:e>
          <m:sup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8</m:t>
            </m:r>
          </m:sup>
        </m:sSup>
      </m:oMath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Пусть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g</m:t>
            </m:r>
          </m:sub>
        </m:sSub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-плотность распределния вероятности на образе отображения g. Для нахождения параметров w требуется, чтобы распределение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g</m:t>
            </m:r>
          </m:sub>
        </m:sSub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как можно меньше отличалось от целевого распределения P. Мы ставим задачу минимизации следующей функции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Para>
        <m:oMathParaPr/>
        <m:oMath>
          <m:r>
            <w:rPr>
              <w:rFonts w:hint="default" w:ascii="Cambria Math" w:hAnsi="Cambria Math" w:eastAsia="Cambria Math" w:cs="Cambria Math"/>
              <w:sz w:val="24"/>
              <w:szCs w:val="24"/>
              <w:highlight w:val="none"/>
              <w14:ligatures w14:val="none"/>
            </w:rPr>
            <m:rPr>
              <m:sty m:val="i"/>
            </m:rPr>
            <m:t>L[w]=</m:t>
          </m:r>
          <m:f>
            <m:fPr>
              <m:ctrlPr>
                <w:rPr>
                  <w:rFonts w:hint="default" w:ascii="Cambria Math" w:hAnsi="Cambria Math" w:eastAsia="Cambria Math" w:cs="Cambria Math"/>
                  <w:i/>
                  <w:sz w:val="24"/>
                  <w:highlight w:val="none"/>
                </w:rPr>
              </m:ctrlPr>
            </m:fPr>
            <m:num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1</m:t>
              </m:r>
            </m:num>
            <m:den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M</m:t>
              </m:r>
            </m:den>
          </m:f>
          <m:nary>
            <m:naryPr>
              <m:chr m:val="∑"/>
              <m:grow m:val="off"/>
              <m:limLoc m:val="subSup"/>
              <m:ctrlPr>
                <w:rPr>
                  <w:rFonts w:hint="default" w:ascii="Cambria Math" w:hAnsi="Cambria Math" w:eastAsia="Cambria Math" w:cs="Cambria Math"/>
                  <w:i/>
                  <w:sz w:val="24"/>
                  <w:highlight w:val="none"/>
                </w:rPr>
              </m:ctrlPr>
            </m:naryPr>
            <m: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i=1</m:t>
              </m:r>
            </m:sub>
            <m:sup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M</m:t>
              </m:r>
            </m:sup>
            <m:e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(ln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i/>
                      <w:sz w:val="24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P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g</m:t>
                  </m:r>
                </m:sub>
              </m:s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(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i/>
                      <w:sz w:val="24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x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i</m:t>
                  </m:r>
                </m:sub>
              </m:s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)+S(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i/>
                      <w:sz w:val="24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x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highlight w:val="none"/>
                    </w:rPr>
                    <m:rPr>
                      <m:sty m:val="i"/>
                    </m:rPr>
                    <m:t>i</m:t>
                  </m:r>
                </m:sub>
              </m:s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))</m:t>
              </m:r>
            </m:e>
          </m:nary>
          <m:r>
            <w:rPr>
              <w:rFonts w:hint="default" w:ascii="Cambria Math" w:hAnsi="Cambria Math" w:eastAsia="Cambria Math" w:cs="Cambria Math"/>
              <w:sz w:val="24"/>
              <w:szCs w:val="24"/>
              <w:highlight w:val="none"/>
              <w14:ligatures w14:val="none"/>
            </w:rPr>
            <m:rPr>
              <m:sty m:val="i"/>
            </m:rPr>
            <m:t>≈</m:t>
          </m:r>
          <m:sSub>
            <m:sSubPr>
              <m:ctrlPr>
                <w:rPr>
                  <w:rFonts w:hint="default" w:ascii="Cambria Math" w:hAnsi="Cambria Math" w:eastAsia="Cambria Math" w:cs="Cambria Math"/>
                  <w:i/>
                  <w:sz w:val="24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D</m:t>
              </m:r>
            </m:e>
            <m: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KL</m:t>
              </m:r>
            </m:sub>
          </m:sSub>
          <m:r>
            <w:rPr>
              <w:rFonts w:hint="default" w:ascii="Cambria Math" w:hAnsi="Cambria Math" w:eastAsia="Cambria Math" w:cs="Cambria Math"/>
              <w:sz w:val="24"/>
              <w:szCs w:val="24"/>
              <w:highlight w:val="none"/>
              <w14:ligatures w14:val="none"/>
            </w:rPr>
            <m:rPr>
              <m:sty m:val="i"/>
            </m:rPr>
            <m:t>(</m:t>
          </m:r>
          <m:sSub>
            <m:sSubPr>
              <m:ctrlPr>
                <w:rPr>
                  <w:rFonts w:hint="default" w:ascii="Cambria Math" w:hAnsi="Cambria Math" w:eastAsia="Cambria Math" w:cs="Cambria Math"/>
                  <w:i/>
                  <w:sz w:val="24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>
                  <m:sty m:val="i"/>
                </m:rPr>
                <m:t>g</m:t>
              </m:r>
            </m:sub>
          </m:sSub>
          <m:r>
            <w:rPr>
              <w:rFonts w:hint="default" w:ascii="Cambria Math" w:hAnsi="Cambria Math" w:eastAsia="Cambria Math" w:cs="Cambria Math"/>
              <w:sz w:val="24"/>
              <w:szCs w:val="24"/>
              <w:highlight w:val="none"/>
              <w14:ligatures w14:val="none"/>
            </w:rPr>
            <m:rPr>
              <m:sty m:val="i"/>
            </m:rPr>
            <m:t>|P)-lnZ</m:t>
          </m:r>
        </m:oMath>
      </m:oMathPara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где 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4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D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highlight w:val="none"/>
              </w:rPr>
              <m:rPr>
                <m:sty m:val="i"/>
              </m:rPr>
              <m:t>KL</m:t>
            </m:r>
          </m:sub>
        </m:sSub>
      </m:oMath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 — дивергенция Кульбака-Лейблера [5].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Оптимизация L[w] производится с помощью встроенного алгоритма Adam библиотеки pytorch. Результаты вычислений двухточечной функции Грина, проведённых с помощью метода МКФИ и описанной выше генеративной модели искусственного интеллекта согласуются межд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у собой в ряде рассмотренных моделей.</w:t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[1] Фейнман Р., Хибс А. Квантовая механика и интегралы по траекториям. Пер. с англ. Под ред. В. С. Барашенкова. // Мир, 1968.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[2]  Smolyanov O.G., Shavgulidze E.T. Path integrals. // Moscow State Universuty, 1990.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[3]  Creutz M., Freedman B.A. A statistical approach to quantum mechanics // Ann. Phys. 1981. 132. 427.</w:t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[4] Ivanov A. S., Novoselov A. A., Pavlovsky O. V. Relativistic path integral monte carlo: Relativistic oscillator problem // IJMP C. 2016. 27, 11. 1650133–1–1650133–14.</w:t>
      </w:r>
      <w:r/>
    </w:p>
    <w:p>
      <w:pPr>
        <w:ind w:left="0"/>
        <w:jc w:val="left"/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[5] Albergo M. S., Kanwar G., Shanahan P. E. Flow-based generative models for Markov chain Monte Carlo in lattice field theory // Phys. Rev. D. 2019. 100, 034515</w:t>
      </w:r>
      <w:r/>
    </w:p>
    <w:p>
      <w:pPr>
        <w:ind w:left="0"/>
        <w:jc w:val="left"/>
        <w:rPr>
          <w:b w:val="0"/>
          <w:bCs w:val="0"/>
          <w:i w:val="0"/>
          <w:sz w:val="24"/>
          <w:szCs w:val="24"/>
          <w14:ligatures w14:val="none"/>
        </w:rPr>
        <w:suppressLineNumbers w:val="0"/>
      </w:pP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  <w:t xml:space="preserve">[6]  Papamakarios G. , Nalisnick E., Rezende D. J., Mohamed S.,  Lakshminarayanan B. Normalizing Flows for Probabilistic Modeling and Inference // Journal of Machine Learning Research, 22(57):1-64, 2021</w:t>
      </w:r>
      <w:r/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1361" w:bottom="1259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vsevolod.chistyakov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Всеволод Чистяков</cp:lastModifiedBy>
  <cp:revision>2</cp:revision>
  <dcterms:modified xsi:type="dcterms:W3CDTF">2024-02-29T17:23:11Z</dcterms:modified>
</cp:coreProperties>
</file>