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E5DAD" w14:textId="20F43A5A" w:rsidR="00CB6D30" w:rsidRPr="00E87162" w:rsidRDefault="004E1118" w:rsidP="005E5522">
      <w:pPr>
        <w:pStyle w:val="1"/>
      </w:pPr>
      <w:r w:rsidRPr="00E87162">
        <w:t xml:space="preserve">Разработка трансивера оптического сигнала </w:t>
      </w:r>
      <w:r w:rsidRPr="00E87162">
        <w:rPr>
          <w:lang w:val="en-US"/>
        </w:rPr>
        <w:t>OFDM</w:t>
      </w:r>
      <w:r w:rsidRPr="00E87162">
        <w:t xml:space="preserve"> на основе </w:t>
      </w:r>
      <w:r w:rsidRPr="00E87162">
        <w:rPr>
          <w:lang w:val="en-US"/>
        </w:rPr>
        <w:t>AWGR</w:t>
      </w:r>
    </w:p>
    <w:p w14:paraId="0BBC7F48" w14:textId="77777777" w:rsidR="008E4CE7" w:rsidRPr="00E87162" w:rsidRDefault="008E4CE7" w:rsidP="00E87162">
      <w:pPr>
        <w:spacing w:line="240" w:lineRule="auto"/>
        <w:rPr>
          <w:rFonts w:cs="Times New Roman"/>
          <w:sz w:val="24"/>
          <w:szCs w:val="24"/>
        </w:rPr>
      </w:pPr>
    </w:p>
    <w:p w14:paraId="596BA0EE" w14:textId="3741B3C8" w:rsidR="008A72CE" w:rsidRPr="00E87162" w:rsidRDefault="006D05EF" w:rsidP="00E87162">
      <w:pPr>
        <w:spacing w:after="0" w:line="240" w:lineRule="auto"/>
        <w:jc w:val="center"/>
        <w:rPr>
          <w:rFonts w:cs="Times New Roman"/>
          <w:b/>
          <w:i/>
          <w:color w:val="000000" w:themeColor="text1"/>
          <w:sz w:val="24"/>
          <w:szCs w:val="24"/>
          <w:vertAlign w:val="superscript"/>
          <w:lang w:val="en-US"/>
        </w:rPr>
      </w:pPr>
      <w:r w:rsidRPr="00E87162">
        <w:rPr>
          <w:rFonts w:cs="Times New Roman"/>
          <w:b/>
          <w:i/>
          <w:color w:val="000000" w:themeColor="text1"/>
          <w:sz w:val="24"/>
          <w:szCs w:val="24"/>
        </w:rPr>
        <w:t>Поповский</w:t>
      </w:r>
      <w:r w:rsidR="00A1195A" w:rsidRPr="00E87162">
        <w:rPr>
          <w:rFonts w:cs="Times New Roman"/>
          <w:b/>
          <w:i/>
          <w:color w:val="000000" w:themeColor="text1"/>
          <w:sz w:val="24"/>
          <w:szCs w:val="24"/>
        </w:rPr>
        <w:t xml:space="preserve"> Н.И.</w:t>
      </w:r>
    </w:p>
    <w:p w14:paraId="1109B802" w14:textId="2C638A2C" w:rsidR="008A72CE" w:rsidRPr="00E87162" w:rsidRDefault="00A47BD5" w:rsidP="00E87162">
      <w:pPr>
        <w:spacing w:after="0" w:line="240" w:lineRule="auto"/>
        <w:jc w:val="center"/>
        <w:rPr>
          <w:rFonts w:cs="Times New Roman"/>
          <w:i/>
          <w:color w:val="000000" w:themeColor="text1"/>
          <w:sz w:val="24"/>
          <w:szCs w:val="24"/>
        </w:rPr>
      </w:pPr>
      <w:r w:rsidRPr="00E87162">
        <w:rPr>
          <w:rFonts w:cs="Times New Roman"/>
          <w:i/>
          <w:color w:val="000000" w:themeColor="text1"/>
          <w:sz w:val="24"/>
          <w:szCs w:val="24"/>
        </w:rPr>
        <w:t>Аспирант</w:t>
      </w:r>
    </w:p>
    <w:p w14:paraId="3CE4EDA2" w14:textId="55C445AE" w:rsidR="00D906BF" w:rsidRPr="00E87162" w:rsidRDefault="00E82668" w:rsidP="00E87162">
      <w:pPr>
        <w:spacing w:after="0" w:line="240" w:lineRule="auto"/>
        <w:jc w:val="center"/>
        <w:rPr>
          <w:rFonts w:cs="Times New Roman"/>
          <w:i/>
          <w:color w:val="000000" w:themeColor="text1"/>
          <w:sz w:val="24"/>
          <w:szCs w:val="24"/>
        </w:rPr>
      </w:pPr>
      <w:r w:rsidRPr="00E87162">
        <w:rPr>
          <w:rFonts w:cs="Times New Roman"/>
          <w:i/>
          <w:color w:val="000000" w:themeColor="text1"/>
          <w:sz w:val="24"/>
          <w:szCs w:val="24"/>
        </w:rPr>
        <w:t>Сан</w:t>
      </w:r>
      <w:r w:rsidR="006D05EF" w:rsidRPr="00E87162">
        <w:rPr>
          <w:rFonts w:cs="Times New Roman"/>
          <w:i/>
          <w:color w:val="000000" w:themeColor="text1"/>
          <w:sz w:val="24"/>
          <w:szCs w:val="24"/>
        </w:rPr>
        <w:t>кт-Петербургский государственный</w:t>
      </w:r>
      <w:r w:rsidRPr="00E87162">
        <w:rPr>
          <w:rFonts w:cs="Times New Roman"/>
          <w:i/>
          <w:color w:val="000000" w:themeColor="text1"/>
          <w:sz w:val="24"/>
          <w:szCs w:val="24"/>
        </w:rPr>
        <w:t xml:space="preserve"> университет</w:t>
      </w:r>
      <w:r w:rsidR="008A72CE" w:rsidRPr="00E87162">
        <w:rPr>
          <w:rFonts w:cs="Times New Roman"/>
          <w:i/>
          <w:color w:val="000000" w:themeColor="text1"/>
          <w:sz w:val="24"/>
          <w:szCs w:val="24"/>
        </w:rPr>
        <w:t xml:space="preserve"> </w:t>
      </w:r>
      <w:r w:rsidR="006D05EF" w:rsidRPr="00E87162">
        <w:rPr>
          <w:rFonts w:cs="Times New Roman"/>
          <w:i/>
          <w:color w:val="000000" w:themeColor="text1"/>
          <w:sz w:val="24"/>
          <w:szCs w:val="24"/>
        </w:rPr>
        <w:t xml:space="preserve">телекоммуникаций </w:t>
      </w:r>
    </w:p>
    <w:p w14:paraId="357D2F94" w14:textId="77777777" w:rsidR="008A72CE" w:rsidRPr="00E87162" w:rsidRDefault="006D05EF" w:rsidP="00E87162">
      <w:pPr>
        <w:spacing w:after="0" w:line="240" w:lineRule="auto"/>
        <w:jc w:val="center"/>
        <w:rPr>
          <w:rFonts w:cs="Times New Roman"/>
          <w:i/>
          <w:color w:val="000000" w:themeColor="text1"/>
          <w:sz w:val="24"/>
          <w:szCs w:val="24"/>
        </w:rPr>
      </w:pPr>
      <w:r w:rsidRPr="00E87162">
        <w:rPr>
          <w:rFonts w:cs="Times New Roman"/>
          <w:i/>
          <w:color w:val="000000" w:themeColor="text1"/>
          <w:sz w:val="24"/>
          <w:szCs w:val="24"/>
        </w:rPr>
        <w:t xml:space="preserve">им. проф. </w:t>
      </w:r>
      <w:proofErr w:type="spellStart"/>
      <w:r w:rsidRPr="00E87162">
        <w:rPr>
          <w:rFonts w:cs="Times New Roman"/>
          <w:i/>
          <w:color w:val="000000" w:themeColor="text1"/>
          <w:sz w:val="24"/>
          <w:szCs w:val="24"/>
        </w:rPr>
        <w:t>М.А.Бонч</w:t>
      </w:r>
      <w:proofErr w:type="spellEnd"/>
      <w:r w:rsidRPr="00E87162">
        <w:rPr>
          <w:rFonts w:cs="Times New Roman"/>
          <w:i/>
          <w:color w:val="000000" w:themeColor="text1"/>
          <w:sz w:val="24"/>
          <w:szCs w:val="24"/>
        </w:rPr>
        <w:t>-Бруевича</w:t>
      </w:r>
      <w:r w:rsidR="008A72CE" w:rsidRPr="00E87162">
        <w:rPr>
          <w:rFonts w:cs="Times New Roman"/>
          <w:i/>
          <w:color w:val="000000" w:themeColor="text1"/>
          <w:sz w:val="24"/>
          <w:szCs w:val="24"/>
        </w:rPr>
        <w:t>, Санкт-Петербург, Россия</w:t>
      </w:r>
    </w:p>
    <w:p w14:paraId="21ABAE9C" w14:textId="77777777" w:rsidR="00F36AF6" w:rsidRPr="00E87162" w:rsidRDefault="008A72CE" w:rsidP="00E87162">
      <w:pPr>
        <w:spacing w:after="0" w:line="240" w:lineRule="auto"/>
        <w:jc w:val="center"/>
        <w:rPr>
          <w:rFonts w:cs="Times New Roman"/>
          <w:i/>
          <w:color w:val="000000" w:themeColor="text1"/>
          <w:sz w:val="24"/>
          <w:szCs w:val="24"/>
        </w:rPr>
      </w:pPr>
      <w:r w:rsidRPr="00E87162">
        <w:rPr>
          <w:rFonts w:cs="Times New Roman"/>
          <w:i/>
          <w:color w:val="000000" w:themeColor="text1"/>
          <w:sz w:val="24"/>
          <w:szCs w:val="24"/>
          <w:lang w:val="en-US"/>
        </w:rPr>
        <w:t>E</w:t>
      </w:r>
      <w:r w:rsidRPr="00E87162">
        <w:rPr>
          <w:rFonts w:cs="Times New Roman"/>
          <w:i/>
          <w:color w:val="000000" w:themeColor="text1"/>
          <w:sz w:val="24"/>
          <w:szCs w:val="24"/>
        </w:rPr>
        <w:t>-</w:t>
      </w:r>
      <w:r w:rsidRPr="00E87162">
        <w:rPr>
          <w:rFonts w:cs="Times New Roman"/>
          <w:i/>
          <w:color w:val="000000" w:themeColor="text1"/>
          <w:sz w:val="24"/>
          <w:szCs w:val="24"/>
          <w:lang w:val="en-US"/>
        </w:rPr>
        <w:t>mail</w:t>
      </w:r>
      <w:r w:rsidRPr="00E87162">
        <w:rPr>
          <w:rFonts w:cs="Times New Roman"/>
          <w:i/>
          <w:color w:val="000000" w:themeColor="text1"/>
          <w:sz w:val="24"/>
          <w:szCs w:val="24"/>
        </w:rPr>
        <w:t xml:space="preserve">: </w:t>
      </w:r>
      <w:hyperlink r:id="rId8" w:history="1">
        <w:r w:rsidR="006714A6" w:rsidRPr="00CA03B1">
          <w:rPr>
            <w:rStyle w:val="ad"/>
            <w:rFonts w:cs="Times New Roman"/>
            <w:i/>
            <w:color w:val="000000" w:themeColor="text1"/>
            <w:sz w:val="24"/>
            <w:szCs w:val="24"/>
            <w:u w:val="none"/>
            <w:lang w:val="en-US"/>
          </w:rPr>
          <w:t>nikitanikita</w:t>
        </w:r>
        <w:r w:rsidR="006714A6" w:rsidRPr="00CA03B1">
          <w:rPr>
            <w:rStyle w:val="ad"/>
            <w:rFonts w:cs="Times New Roman"/>
            <w:i/>
            <w:color w:val="000000" w:themeColor="text1"/>
            <w:sz w:val="24"/>
            <w:szCs w:val="24"/>
            <w:u w:val="none"/>
          </w:rPr>
          <w:t>24@</w:t>
        </w:r>
        <w:r w:rsidR="006714A6" w:rsidRPr="00CA03B1">
          <w:rPr>
            <w:rStyle w:val="ad"/>
            <w:rFonts w:cs="Times New Roman"/>
            <w:i/>
            <w:color w:val="000000" w:themeColor="text1"/>
            <w:sz w:val="24"/>
            <w:szCs w:val="24"/>
            <w:u w:val="none"/>
            <w:lang w:val="en-US"/>
          </w:rPr>
          <w:t>mail</w:t>
        </w:r>
        <w:r w:rsidR="006714A6" w:rsidRPr="00CA03B1">
          <w:rPr>
            <w:rStyle w:val="ad"/>
            <w:rFonts w:cs="Times New Roman"/>
            <w:i/>
            <w:color w:val="000000" w:themeColor="text1"/>
            <w:sz w:val="24"/>
            <w:szCs w:val="24"/>
            <w:u w:val="none"/>
          </w:rPr>
          <w:t>.</w:t>
        </w:r>
        <w:r w:rsidR="006714A6" w:rsidRPr="00CA03B1">
          <w:rPr>
            <w:rStyle w:val="ad"/>
            <w:rFonts w:cs="Times New Roman"/>
            <w:i/>
            <w:color w:val="000000" w:themeColor="text1"/>
            <w:sz w:val="24"/>
            <w:szCs w:val="24"/>
            <w:u w:val="none"/>
            <w:lang w:val="en-US"/>
          </w:rPr>
          <w:t>ru</w:t>
        </w:r>
      </w:hyperlink>
    </w:p>
    <w:p w14:paraId="4F50F13E" w14:textId="77777777" w:rsidR="001D6025" w:rsidRPr="00E87162" w:rsidRDefault="001D6025" w:rsidP="00E87162">
      <w:pPr>
        <w:spacing w:after="0" w:line="240" w:lineRule="auto"/>
        <w:rPr>
          <w:rFonts w:cs="Times New Roman"/>
          <w:i/>
          <w:color w:val="000000" w:themeColor="text1"/>
          <w:sz w:val="24"/>
          <w:szCs w:val="24"/>
          <w:lang w:val="en-US"/>
        </w:rPr>
      </w:pPr>
    </w:p>
    <w:p w14:paraId="2C4CACFD" w14:textId="23F2E923" w:rsidR="00315541" w:rsidRPr="00E87162" w:rsidRDefault="00315541" w:rsidP="005E5522">
      <w:pPr>
        <w:spacing w:line="240" w:lineRule="auto"/>
        <w:ind w:left="397" w:firstLine="708"/>
        <w:rPr>
          <w:rFonts w:cs="Times New Roman"/>
          <w:sz w:val="24"/>
          <w:szCs w:val="24"/>
        </w:rPr>
      </w:pPr>
      <w:r w:rsidRPr="00E87162">
        <w:rPr>
          <w:rFonts w:cs="Times New Roman"/>
          <w:sz w:val="24"/>
          <w:szCs w:val="24"/>
        </w:rPr>
        <w:t xml:space="preserve">На действующих транспортных сетях, построенных с использованием технологии </w:t>
      </w:r>
      <w:r w:rsidRPr="00E87162">
        <w:rPr>
          <w:rFonts w:cs="Times New Roman"/>
          <w:sz w:val="24"/>
          <w:szCs w:val="24"/>
          <w:lang w:val="en-US"/>
        </w:rPr>
        <w:t>OTN</w:t>
      </w:r>
      <w:r w:rsidRPr="00E87162">
        <w:rPr>
          <w:rFonts w:cs="Times New Roman"/>
          <w:sz w:val="24"/>
          <w:szCs w:val="24"/>
        </w:rPr>
        <w:t>/</w:t>
      </w:r>
      <w:r w:rsidRPr="00E87162">
        <w:rPr>
          <w:rFonts w:cs="Times New Roman"/>
          <w:sz w:val="24"/>
          <w:szCs w:val="24"/>
          <w:lang w:val="en-US"/>
        </w:rPr>
        <w:t>DWDM</w:t>
      </w:r>
      <w:r w:rsidRPr="00E87162">
        <w:rPr>
          <w:rFonts w:cs="Times New Roman"/>
          <w:sz w:val="24"/>
          <w:szCs w:val="24"/>
        </w:rPr>
        <w:t>, чаще всего для оптических каналов используют фиксированную стандартизованную сетку частот (</w:t>
      </w:r>
      <w:r w:rsidRPr="00E87162">
        <w:rPr>
          <w:rFonts w:cs="Times New Roman"/>
          <w:sz w:val="24"/>
          <w:szCs w:val="24"/>
          <w:lang w:val="en-US"/>
        </w:rPr>
        <w:t>Fixed</w:t>
      </w:r>
      <w:r w:rsidRPr="00E87162">
        <w:rPr>
          <w:rFonts w:cs="Times New Roman"/>
          <w:sz w:val="24"/>
          <w:szCs w:val="24"/>
        </w:rPr>
        <w:t xml:space="preserve"> </w:t>
      </w:r>
      <w:r w:rsidRPr="00E87162">
        <w:rPr>
          <w:rFonts w:cs="Times New Roman"/>
          <w:sz w:val="24"/>
          <w:szCs w:val="24"/>
          <w:lang w:val="en-US"/>
        </w:rPr>
        <w:t>Grid</w:t>
      </w:r>
      <w:r w:rsidRPr="00E87162">
        <w:rPr>
          <w:rFonts w:cs="Times New Roman"/>
          <w:sz w:val="24"/>
          <w:szCs w:val="24"/>
        </w:rPr>
        <w:t>) с шагом 50 или 100 ГГц</w:t>
      </w:r>
      <w:r w:rsidR="005B09F6" w:rsidRPr="00E87162">
        <w:rPr>
          <w:rFonts w:cs="Times New Roman"/>
          <w:sz w:val="24"/>
          <w:szCs w:val="24"/>
        </w:rPr>
        <w:t xml:space="preserve"> (Рис. 1)</w:t>
      </w:r>
      <w:r w:rsidRPr="00E87162">
        <w:rPr>
          <w:rFonts w:cs="Times New Roman"/>
          <w:sz w:val="24"/>
          <w:szCs w:val="24"/>
        </w:rPr>
        <w:t xml:space="preserve">. Для организации подобной линии связи используется наиболее простое оборудование, однако такой подход имеет ряд ограничений. Применение технологии </w:t>
      </w:r>
      <w:r w:rsidRPr="00E87162">
        <w:rPr>
          <w:rFonts w:cs="Times New Roman"/>
          <w:sz w:val="24"/>
          <w:szCs w:val="24"/>
          <w:lang w:val="en-US"/>
        </w:rPr>
        <w:t>Flex</w:t>
      </w:r>
      <w:r w:rsidRPr="00E87162">
        <w:rPr>
          <w:rFonts w:cs="Times New Roman"/>
          <w:sz w:val="24"/>
          <w:szCs w:val="24"/>
        </w:rPr>
        <w:t xml:space="preserve"> </w:t>
      </w:r>
      <w:r w:rsidRPr="00E87162">
        <w:rPr>
          <w:rFonts w:cs="Times New Roman"/>
          <w:sz w:val="24"/>
          <w:szCs w:val="24"/>
          <w:lang w:val="en-US"/>
        </w:rPr>
        <w:t>Grid</w:t>
      </w:r>
      <w:r w:rsidRPr="00E87162">
        <w:rPr>
          <w:rFonts w:cs="Times New Roman"/>
          <w:sz w:val="24"/>
          <w:szCs w:val="24"/>
        </w:rPr>
        <w:t xml:space="preserve"> позволяет повысить уровень спектральной эффективности и пропускной способности системы </w:t>
      </w:r>
      <w:r w:rsidRPr="00E87162">
        <w:rPr>
          <w:rFonts w:cs="Times New Roman"/>
          <w:sz w:val="24"/>
          <w:szCs w:val="24"/>
          <w:lang w:val="en-US"/>
        </w:rPr>
        <w:t>DWDM</w:t>
      </w:r>
      <w:r w:rsidRPr="00E87162">
        <w:rPr>
          <w:rFonts w:cs="Times New Roman"/>
          <w:sz w:val="24"/>
          <w:szCs w:val="24"/>
        </w:rPr>
        <w:t xml:space="preserve">. В случае организации оптического канала со скоростью 1 Тбит/с </w:t>
      </w:r>
      <w:proofErr w:type="spellStart"/>
      <w:r w:rsidRPr="00E87162">
        <w:rPr>
          <w:rFonts w:cs="Times New Roman"/>
          <w:sz w:val="24"/>
          <w:szCs w:val="24"/>
        </w:rPr>
        <w:t>с</w:t>
      </w:r>
      <w:proofErr w:type="spellEnd"/>
      <w:r w:rsidRPr="00E87162">
        <w:rPr>
          <w:rFonts w:cs="Times New Roman"/>
          <w:sz w:val="24"/>
          <w:szCs w:val="24"/>
        </w:rPr>
        <w:t xml:space="preserve"> помощью 10 потоков по 100 Гбит/с формата модуляции </w:t>
      </w:r>
      <w:r w:rsidRPr="00E87162">
        <w:rPr>
          <w:rFonts w:cs="Times New Roman"/>
          <w:sz w:val="24"/>
          <w:szCs w:val="24"/>
          <w:lang w:val="en-US"/>
        </w:rPr>
        <w:t>QPSK</w:t>
      </w:r>
      <w:r w:rsidRPr="00E87162">
        <w:rPr>
          <w:rFonts w:cs="Times New Roman"/>
          <w:sz w:val="24"/>
          <w:szCs w:val="24"/>
        </w:rPr>
        <w:t xml:space="preserve"> и использовании стандартной сетки волн 50 ГГц </w:t>
      </w:r>
      <w:r w:rsidRPr="00E87162">
        <w:rPr>
          <w:rFonts w:cs="Times New Roman"/>
          <w:sz w:val="24"/>
          <w:szCs w:val="24"/>
          <w:lang w:val="en-US"/>
        </w:rPr>
        <w:t>WDM</w:t>
      </w:r>
      <w:r w:rsidRPr="00E87162">
        <w:rPr>
          <w:rFonts w:cs="Times New Roman"/>
          <w:sz w:val="24"/>
          <w:szCs w:val="24"/>
        </w:rPr>
        <w:t xml:space="preserve"> с поляризационным интерливингом с частичным перекрытием спектров соседних сигналов требуемая полоса частот составит 500 ГГц</w:t>
      </w:r>
      <w:r w:rsidR="00E167C3">
        <w:rPr>
          <w:rFonts w:cs="Times New Roman"/>
          <w:sz w:val="24"/>
          <w:szCs w:val="24"/>
        </w:rPr>
        <w:t xml:space="preserve"> </w:t>
      </w:r>
      <w:r w:rsidR="00E167C3">
        <w:rPr>
          <w:rFonts w:cs="Times New Roman"/>
          <w:sz w:val="24"/>
          <w:szCs w:val="24"/>
          <w:lang w:val="en-US"/>
        </w:rPr>
        <w:t>[1]</w:t>
      </w:r>
      <w:r w:rsidRPr="00E87162">
        <w:rPr>
          <w:rFonts w:cs="Times New Roman"/>
          <w:sz w:val="24"/>
          <w:szCs w:val="24"/>
        </w:rPr>
        <w:t>.</w:t>
      </w:r>
    </w:p>
    <w:p w14:paraId="7EFDC00D" w14:textId="3C4CD87C" w:rsidR="001D6025" w:rsidRPr="00E87162" w:rsidRDefault="002260CE" w:rsidP="005E5522">
      <w:pPr>
        <w:spacing w:line="240" w:lineRule="auto"/>
        <w:ind w:left="397" w:firstLine="708"/>
        <w:rPr>
          <w:rFonts w:cs="Times New Roman"/>
          <w:sz w:val="24"/>
          <w:szCs w:val="24"/>
          <w:lang w:val="en-US"/>
        </w:rPr>
      </w:pPr>
      <w:r w:rsidRPr="00E87162">
        <w:rPr>
          <w:rFonts w:cs="Times New Roman"/>
          <w:sz w:val="24"/>
          <w:szCs w:val="24"/>
        </w:rPr>
        <w:t xml:space="preserve">Увеличение канальной скорости при сохранении одной несущей наталкивается на проблему резкого уменьшения дальности передачи без регенерации. Необходимость строительства дополнительных усилительных пунктов приводит к удорожанию систем связи.  Оптимальным решением, позволяющим сохранить дальность передачи и увеличить канальную скорость, является использование множества несущих частот в одном объединенном канале, который принято называть </w:t>
      </w:r>
      <w:proofErr w:type="spellStart"/>
      <w:r w:rsidRPr="00E87162">
        <w:rPr>
          <w:rFonts w:cs="Times New Roman"/>
          <w:sz w:val="24"/>
          <w:szCs w:val="24"/>
        </w:rPr>
        <w:t>суперканалом</w:t>
      </w:r>
      <w:proofErr w:type="spellEnd"/>
      <w:r w:rsidRPr="00E87162">
        <w:rPr>
          <w:rFonts w:cs="Times New Roman"/>
          <w:sz w:val="24"/>
          <w:szCs w:val="24"/>
        </w:rPr>
        <w:t>.</w:t>
      </w:r>
    </w:p>
    <w:p w14:paraId="1BFF4E1A" w14:textId="2C64082C" w:rsidR="00315541" w:rsidRPr="00E87162" w:rsidRDefault="00315541" w:rsidP="001B76AB">
      <w:pPr>
        <w:spacing w:after="0" w:line="240" w:lineRule="auto"/>
        <w:ind w:left="397"/>
        <w:jc w:val="center"/>
        <w:rPr>
          <w:rFonts w:cs="Times New Roman"/>
          <w:iCs/>
          <w:color w:val="000000" w:themeColor="text1"/>
          <w:sz w:val="24"/>
          <w:szCs w:val="24"/>
          <w:lang w:val="en-US"/>
        </w:rPr>
      </w:pPr>
      <w:r w:rsidRPr="00E87162">
        <w:rPr>
          <w:rFonts w:cs="Times New Roman"/>
          <w:noProof/>
          <w:sz w:val="24"/>
          <w:szCs w:val="24"/>
          <w:lang w:val="en-US"/>
        </w:rPr>
        <w:drawing>
          <wp:inline distT="0" distB="0" distL="0" distR="0" wp14:anchorId="149A59D4" wp14:editId="4B238A90">
            <wp:extent cx="3089910" cy="778598"/>
            <wp:effectExtent l="0" t="0" r="0" b="0"/>
            <wp:docPr id="2599727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972769" name="Рисунок 259972769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97"/>
                    <a:stretch/>
                  </pic:blipFill>
                  <pic:spPr bwMode="auto">
                    <a:xfrm>
                      <a:off x="0" y="0"/>
                      <a:ext cx="3089910" cy="778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72738A" w14:textId="5D486BC0" w:rsidR="00DF165F" w:rsidRPr="00E87162" w:rsidRDefault="00EF4EA5" w:rsidP="001B76AB">
      <w:pPr>
        <w:spacing w:after="0" w:line="240" w:lineRule="auto"/>
        <w:jc w:val="center"/>
        <w:rPr>
          <w:rFonts w:cs="Times New Roman"/>
          <w:color w:val="000000" w:themeColor="text1"/>
          <w:sz w:val="24"/>
          <w:szCs w:val="24"/>
        </w:rPr>
      </w:pPr>
      <w:r w:rsidRPr="00E87162">
        <w:rPr>
          <w:rFonts w:cs="Times New Roman"/>
          <w:color w:val="000000" w:themeColor="text1"/>
          <w:sz w:val="24"/>
          <w:szCs w:val="24"/>
        </w:rPr>
        <w:t xml:space="preserve">Рис. 1. </w:t>
      </w:r>
      <w:r w:rsidR="00841E25" w:rsidRPr="00E87162">
        <w:rPr>
          <w:rFonts w:cs="Times New Roman"/>
          <w:color w:val="000000" w:themeColor="text1"/>
          <w:sz w:val="24"/>
          <w:szCs w:val="24"/>
        </w:rPr>
        <w:t>Полоса частот, занимаемая каналами с разной скоростью</w:t>
      </w:r>
    </w:p>
    <w:p w14:paraId="1C2A5A3B" w14:textId="52B9A17D" w:rsidR="00DF165F" w:rsidRPr="00E87162" w:rsidRDefault="00D60796" w:rsidP="005E5522">
      <w:pPr>
        <w:spacing w:line="240" w:lineRule="auto"/>
        <w:ind w:left="397" w:firstLine="708"/>
        <w:rPr>
          <w:rFonts w:cs="Times New Roman"/>
          <w:sz w:val="24"/>
          <w:szCs w:val="24"/>
        </w:rPr>
      </w:pPr>
      <w:r w:rsidRPr="00E87162">
        <w:rPr>
          <w:rFonts w:cs="Times New Roman"/>
          <w:sz w:val="24"/>
          <w:szCs w:val="24"/>
        </w:rPr>
        <w:t>Научная новизна</w:t>
      </w:r>
      <w:r w:rsidR="00DF165F" w:rsidRPr="00E87162">
        <w:rPr>
          <w:rFonts w:cs="Times New Roman"/>
          <w:sz w:val="24"/>
          <w:szCs w:val="24"/>
        </w:rPr>
        <w:t xml:space="preserve"> в этой работе заключается в использовании исключительно оптических элементов для реализации ортогонального частотного мультиплексирования. Процесс включает преобразование 10 оптических клиентских каналов, каждый из которых работает со скоростью 10 Гбит/с, в электрические сигналы. Впоследствии многоканальный групповой сигнал генерируется в оптической области путем объединения сигналов из различных оптических </w:t>
      </w:r>
      <w:proofErr w:type="spellStart"/>
      <w:r w:rsidR="00DF165F" w:rsidRPr="00E87162">
        <w:rPr>
          <w:rFonts w:cs="Times New Roman"/>
          <w:sz w:val="24"/>
          <w:szCs w:val="24"/>
        </w:rPr>
        <w:t>поднесущих</w:t>
      </w:r>
      <w:proofErr w:type="spellEnd"/>
      <w:r w:rsidR="00DF165F" w:rsidRPr="00E87162">
        <w:rPr>
          <w:rFonts w:cs="Times New Roman"/>
          <w:sz w:val="24"/>
          <w:szCs w:val="24"/>
        </w:rPr>
        <w:t xml:space="preserve"> каналов.</w:t>
      </w:r>
    </w:p>
    <w:p w14:paraId="4C32FE45" w14:textId="2B7A7557" w:rsidR="00B210F0" w:rsidRPr="00E87162" w:rsidRDefault="00B210F0" w:rsidP="005E5522">
      <w:pPr>
        <w:spacing w:line="240" w:lineRule="auto"/>
        <w:ind w:left="397" w:firstLine="708"/>
        <w:rPr>
          <w:rFonts w:cs="Times New Roman"/>
          <w:i/>
          <w:iCs/>
          <w:sz w:val="24"/>
          <w:szCs w:val="24"/>
        </w:rPr>
      </w:pPr>
      <w:r w:rsidRPr="00E87162">
        <w:rPr>
          <w:rFonts w:cs="Times New Roman"/>
          <w:sz w:val="24"/>
          <w:szCs w:val="24"/>
        </w:rPr>
        <w:t xml:space="preserve">Решетка на основе массива волноводов может использоваться в качестве </w:t>
      </w:r>
      <w:proofErr w:type="spellStart"/>
      <w:r w:rsidRPr="00E87162">
        <w:rPr>
          <w:rFonts w:cs="Times New Roman"/>
          <w:sz w:val="24"/>
          <w:szCs w:val="24"/>
        </w:rPr>
        <w:t>демультиплексора</w:t>
      </w:r>
      <w:proofErr w:type="spellEnd"/>
      <w:r w:rsidRPr="00E87162">
        <w:rPr>
          <w:rFonts w:cs="Times New Roman"/>
          <w:sz w:val="24"/>
          <w:szCs w:val="24"/>
        </w:rPr>
        <w:t xml:space="preserve"> для оптической сигнала OFDM, поскольку она обеспечивает как преобразование последовательного сигнала в параллельный, так и оптическое преобразование Фурье в одном комплексе. Поскольку обратное преобразование Фурье топологически идентично преобразованию Фурье, AWG также может использоваться в качестве мультиплексора OFDM сигнала в передатчике</w:t>
      </w:r>
      <w:r w:rsidRPr="00E87162">
        <w:rPr>
          <w:rFonts w:cs="Times New Roman"/>
          <w:i/>
          <w:iCs/>
          <w:sz w:val="24"/>
          <w:szCs w:val="24"/>
        </w:rPr>
        <w:t>.</w:t>
      </w:r>
    </w:p>
    <w:p w14:paraId="2148C1D5" w14:textId="6E8A2DE8" w:rsidR="00310D6B" w:rsidRPr="00E87162" w:rsidRDefault="00310D6B" w:rsidP="005E5522">
      <w:pPr>
        <w:spacing w:line="240" w:lineRule="auto"/>
        <w:ind w:left="397" w:firstLine="708"/>
        <w:rPr>
          <w:rFonts w:cs="Times New Roman"/>
          <w:sz w:val="24"/>
          <w:szCs w:val="24"/>
        </w:rPr>
      </w:pPr>
      <w:r w:rsidRPr="00E87162">
        <w:rPr>
          <w:rFonts w:cs="Times New Roman"/>
          <w:sz w:val="24"/>
          <w:szCs w:val="24"/>
        </w:rPr>
        <w:t xml:space="preserve">В электронной реализации оптических передатчиков OFDM процесс включает QAM-модуляторы для обратного преобразования Фурье и последующего преобразования из параллельного в последовательный. Эти модуляторы преобразуют входные сигналы с фазовой модуляцией во временную форму сигнала, представляющую собой суперпозицию сигналов канала </w:t>
      </w:r>
      <w:proofErr w:type="spellStart"/>
      <w:r w:rsidRPr="00E87162">
        <w:rPr>
          <w:rFonts w:cs="Times New Roman"/>
          <w:sz w:val="24"/>
          <w:szCs w:val="24"/>
        </w:rPr>
        <w:t>поднесущей</w:t>
      </w:r>
      <w:proofErr w:type="spellEnd"/>
      <w:r w:rsidRPr="00E87162">
        <w:rPr>
          <w:rFonts w:cs="Times New Roman"/>
          <w:sz w:val="24"/>
          <w:szCs w:val="24"/>
        </w:rPr>
        <w:t xml:space="preserve">. Впоследствии этот сигнал подвергается </w:t>
      </w:r>
      <w:proofErr w:type="gramStart"/>
      <w:r w:rsidRPr="00E87162">
        <w:rPr>
          <w:rFonts w:cs="Times New Roman"/>
          <w:sz w:val="24"/>
          <w:szCs w:val="24"/>
        </w:rPr>
        <w:t>модуляции оптической</w:t>
      </w:r>
      <w:proofErr w:type="gramEnd"/>
      <w:r w:rsidRPr="00E87162">
        <w:rPr>
          <w:rFonts w:cs="Times New Roman"/>
          <w:sz w:val="24"/>
          <w:szCs w:val="24"/>
        </w:rPr>
        <w:t xml:space="preserve"> несущей с использованием сложного оптического модулятора. Рисунок </w:t>
      </w:r>
      <w:r w:rsidR="00B210F0" w:rsidRPr="00E87162">
        <w:rPr>
          <w:rFonts w:cs="Times New Roman"/>
          <w:sz w:val="24"/>
          <w:szCs w:val="24"/>
        </w:rPr>
        <w:t>2</w:t>
      </w:r>
      <w:r w:rsidRPr="00E87162">
        <w:rPr>
          <w:rFonts w:cs="Times New Roman"/>
          <w:sz w:val="24"/>
          <w:szCs w:val="24"/>
        </w:rPr>
        <w:t xml:space="preserve"> иллюстрирует оптическое воплощение этой </w:t>
      </w:r>
      <w:r w:rsidRPr="00E87162">
        <w:rPr>
          <w:rFonts w:cs="Times New Roman"/>
          <w:sz w:val="24"/>
          <w:szCs w:val="24"/>
        </w:rPr>
        <w:lastRenderedPageBreak/>
        <w:t>концепции, основанное на AWGR (</w:t>
      </w:r>
      <w:proofErr w:type="spellStart"/>
      <w:r w:rsidRPr="00E87162">
        <w:rPr>
          <w:rFonts w:cs="Times New Roman"/>
          <w:sz w:val="24"/>
          <w:szCs w:val="24"/>
        </w:rPr>
        <w:t>Arrayed</w:t>
      </w:r>
      <w:proofErr w:type="spellEnd"/>
      <w:r w:rsidRPr="00E87162">
        <w:rPr>
          <w:rFonts w:cs="Times New Roman"/>
          <w:sz w:val="24"/>
          <w:szCs w:val="24"/>
        </w:rPr>
        <w:t xml:space="preserve"> </w:t>
      </w:r>
      <w:proofErr w:type="spellStart"/>
      <w:r w:rsidRPr="00E87162">
        <w:rPr>
          <w:rFonts w:cs="Times New Roman"/>
          <w:sz w:val="24"/>
          <w:szCs w:val="24"/>
        </w:rPr>
        <w:t>Waveguide</w:t>
      </w:r>
      <w:proofErr w:type="spellEnd"/>
      <w:r w:rsidRPr="00E87162">
        <w:rPr>
          <w:rFonts w:cs="Times New Roman"/>
          <w:sz w:val="24"/>
          <w:szCs w:val="24"/>
        </w:rPr>
        <w:t xml:space="preserve"> </w:t>
      </w:r>
      <w:proofErr w:type="spellStart"/>
      <w:r w:rsidRPr="00E87162">
        <w:rPr>
          <w:rFonts w:cs="Times New Roman"/>
          <w:sz w:val="24"/>
          <w:szCs w:val="24"/>
        </w:rPr>
        <w:t>Grating</w:t>
      </w:r>
      <w:proofErr w:type="spellEnd"/>
      <w:r w:rsidRPr="00E87162">
        <w:rPr>
          <w:rFonts w:cs="Times New Roman"/>
          <w:sz w:val="24"/>
          <w:szCs w:val="24"/>
        </w:rPr>
        <w:t xml:space="preserve"> </w:t>
      </w:r>
      <w:proofErr w:type="spellStart"/>
      <w:r w:rsidRPr="00E87162">
        <w:rPr>
          <w:rFonts w:cs="Times New Roman"/>
          <w:sz w:val="24"/>
          <w:szCs w:val="24"/>
        </w:rPr>
        <w:t>Router</w:t>
      </w:r>
      <w:proofErr w:type="spellEnd"/>
      <w:r w:rsidRPr="00E87162">
        <w:rPr>
          <w:rFonts w:cs="Times New Roman"/>
          <w:sz w:val="24"/>
          <w:szCs w:val="24"/>
        </w:rPr>
        <w:t>). В основе конструкции этого передатчика лежат три слоя пластин. Входной разветвитель делит сигнал на четыре копии, каждая из которых модулируется собственным оптическим модулятором, со своим собственным клиентским сигналом.</w:t>
      </w:r>
    </w:p>
    <w:p w14:paraId="52ACC956" w14:textId="0EACADA3" w:rsidR="00755ADC" w:rsidRPr="00E87162" w:rsidRDefault="00310D6B" w:rsidP="005E5522">
      <w:pPr>
        <w:spacing w:line="240" w:lineRule="auto"/>
        <w:ind w:left="397" w:firstLine="708"/>
        <w:rPr>
          <w:rFonts w:cs="Times New Roman"/>
          <w:sz w:val="24"/>
          <w:szCs w:val="24"/>
          <w:lang w:val="en-US"/>
        </w:rPr>
      </w:pPr>
      <w:r w:rsidRPr="00E87162">
        <w:rPr>
          <w:rFonts w:cs="Times New Roman"/>
          <w:sz w:val="24"/>
          <w:szCs w:val="24"/>
        </w:rPr>
        <w:t>Обратное преобразование Фурье реализуется с использованием второго слоя, состоящего из пластинчатого разделителя, фазового сдвига и комбинатора. Оптический сигнал, проходящий через него, вызывает серию фазовых сдвигов, где каждый сдвиг зависит от конкретного входного волновода (m) и связанного с ним выходного волновода (n). Используя различные задержки для разных каналов, третий уровень, состоящий из разветвителя, объединяет выходные сигналы со второго уровня. Каждый входной импульс преобразуется в последовательность из восьми выходных импульсов, где каждый выходной импульс представляет собой взвешенную по фазе комбинацию выходных сигналов от всех модуляторов.</w:t>
      </w:r>
    </w:p>
    <w:p w14:paraId="6FE3399D" w14:textId="2639B39F" w:rsidR="0052501F" w:rsidRPr="00E87162" w:rsidRDefault="00315541" w:rsidP="001B76AB">
      <w:pPr>
        <w:spacing w:after="0" w:line="240" w:lineRule="auto"/>
        <w:ind w:left="397"/>
        <w:jc w:val="center"/>
        <w:rPr>
          <w:rFonts w:cs="Times New Roman"/>
          <w:iCs/>
          <w:color w:val="000000" w:themeColor="text1"/>
          <w:sz w:val="24"/>
          <w:szCs w:val="24"/>
          <w:lang w:val="en-US"/>
        </w:rPr>
      </w:pPr>
      <w:r w:rsidRPr="00E87162">
        <w:rPr>
          <w:rFonts w:cs="Times New Roman"/>
          <w:noProof/>
          <w:sz w:val="24"/>
          <w:szCs w:val="24"/>
          <w:lang w:val="en-US"/>
        </w:rPr>
        <w:drawing>
          <wp:inline distT="0" distB="0" distL="0" distR="0" wp14:anchorId="7B89AFB9" wp14:editId="0C15E5AE">
            <wp:extent cx="3089910" cy="1082040"/>
            <wp:effectExtent l="0" t="0" r="0" b="0"/>
            <wp:docPr id="125179816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798168" name="Рисунок 1251798168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91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61C64" w14:textId="354BD364" w:rsidR="0052501F" w:rsidRPr="00E87162" w:rsidRDefault="00EE4A14" w:rsidP="001B76AB">
      <w:pPr>
        <w:spacing w:after="0" w:line="240" w:lineRule="auto"/>
        <w:ind w:left="397"/>
        <w:jc w:val="center"/>
        <w:rPr>
          <w:rFonts w:cs="Times New Roman"/>
          <w:color w:val="000000" w:themeColor="text1"/>
          <w:sz w:val="24"/>
          <w:szCs w:val="24"/>
        </w:rPr>
      </w:pPr>
      <w:r w:rsidRPr="00E87162">
        <w:rPr>
          <w:rFonts w:cs="Times New Roman"/>
          <w:color w:val="000000" w:themeColor="text1"/>
          <w:sz w:val="24"/>
          <w:szCs w:val="24"/>
        </w:rPr>
        <w:t>Рис. 2</w:t>
      </w:r>
      <w:r w:rsidR="0052501F" w:rsidRPr="00E87162">
        <w:rPr>
          <w:rFonts w:cs="Times New Roman"/>
          <w:color w:val="000000" w:themeColor="text1"/>
          <w:sz w:val="24"/>
          <w:szCs w:val="24"/>
        </w:rPr>
        <w:t xml:space="preserve">. </w:t>
      </w:r>
      <w:r w:rsidR="004C3E4C" w:rsidRPr="00E87162">
        <w:rPr>
          <w:rFonts w:cs="Times New Roman"/>
          <w:color w:val="000000" w:themeColor="text1"/>
          <w:sz w:val="24"/>
          <w:szCs w:val="24"/>
        </w:rPr>
        <w:t xml:space="preserve">Структурная схема AWGR для оптического OFDM-передатчика с четырьмя </w:t>
      </w:r>
      <w:proofErr w:type="spellStart"/>
      <w:r w:rsidR="004C3E4C" w:rsidRPr="00E87162">
        <w:rPr>
          <w:rFonts w:cs="Times New Roman"/>
          <w:color w:val="000000" w:themeColor="text1"/>
          <w:sz w:val="24"/>
          <w:szCs w:val="24"/>
        </w:rPr>
        <w:t>поднесущими</w:t>
      </w:r>
      <w:proofErr w:type="spellEnd"/>
    </w:p>
    <w:p w14:paraId="001C18F3" w14:textId="77777777" w:rsidR="005612B2" w:rsidRPr="00E87162" w:rsidRDefault="005612B2" w:rsidP="005E5522">
      <w:pPr>
        <w:spacing w:after="0" w:line="240" w:lineRule="auto"/>
        <w:ind w:left="397"/>
        <w:rPr>
          <w:rFonts w:cs="Times New Roman"/>
          <w:color w:val="000000" w:themeColor="text1"/>
          <w:sz w:val="24"/>
          <w:szCs w:val="24"/>
        </w:rPr>
      </w:pPr>
    </w:p>
    <w:p w14:paraId="58393D9C" w14:textId="59A60A14" w:rsidR="007D290F" w:rsidRPr="00E87162" w:rsidRDefault="007D290F" w:rsidP="005E5522">
      <w:pPr>
        <w:spacing w:line="240" w:lineRule="auto"/>
        <w:ind w:left="397" w:firstLine="708"/>
        <w:rPr>
          <w:rFonts w:cs="Times New Roman"/>
          <w:sz w:val="24"/>
          <w:szCs w:val="24"/>
        </w:rPr>
      </w:pPr>
      <w:r w:rsidRPr="00E87162">
        <w:rPr>
          <w:rFonts w:cs="Times New Roman"/>
          <w:sz w:val="24"/>
          <w:szCs w:val="24"/>
        </w:rPr>
        <w:t xml:space="preserve">Оптические </w:t>
      </w:r>
      <w:proofErr w:type="spellStart"/>
      <w:r w:rsidRPr="00E87162">
        <w:rPr>
          <w:rFonts w:cs="Times New Roman"/>
          <w:sz w:val="24"/>
          <w:szCs w:val="24"/>
        </w:rPr>
        <w:t>поднесущие</w:t>
      </w:r>
      <w:proofErr w:type="spellEnd"/>
      <w:r w:rsidRPr="00E87162">
        <w:rPr>
          <w:rFonts w:cs="Times New Roman"/>
          <w:sz w:val="24"/>
          <w:szCs w:val="24"/>
        </w:rPr>
        <w:t xml:space="preserve"> исходят от одного источника лазерного излучения и подвергаются модуляции несущими информацию клиентскими сигналами с помощью модуляторов Маха-</w:t>
      </w:r>
      <w:proofErr w:type="spellStart"/>
      <w:r w:rsidRPr="00E87162">
        <w:rPr>
          <w:rFonts w:cs="Times New Roman"/>
          <w:sz w:val="24"/>
          <w:szCs w:val="24"/>
        </w:rPr>
        <w:t>Зендера</w:t>
      </w:r>
      <w:proofErr w:type="spellEnd"/>
      <w:r w:rsidRPr="00E87162">
        <w:rPr>
          <w:rFonts w:cs="Times New Roman"/>
          <w:sz w:val="24"/>
          <w:szCs w:val="24"/>
        </w:rPr>
        <w:t xml:space="preserve">, использующих технологию </w:t>
      </w:r>
      <w:proofErr w:type="spellStart"/>
      <w:r w:rsidRPr="00E87162">
        <w:rPr>
          <w:rFonts w:cs="Times New Roman"/>
          <w:sz w:val="24"/>
          <w:szCs w:val="24"/>
        </w:rPr>
        <w:t>ниобата</w:t>
      </w:r>
      <w:proofErr w:type="spellEnd"/>
      <w:r w:rsidRPr="00E87162">
        <w:rPr>
          <w:rFonts w:cs="Times New Roman"/>
          <w:sz w:val="24"/>
          <w:szCs w:val="24"/>
        </w:rPr>
        <w:t xml:space="preserve"> лития (LiNbO3). После модуляции эти сигналы передаются через AWGR, что облегчает процесс модуляции OFDM. Мультиплексированный сигнал проходит по 100-километровому волоконно-оптическому каналу связи, достигая как приемника, так и </w:t>
      </w:r>
      <w:proofErr w:type="spellStart"/>
      <w:r w:rsidRPr="00E87162">
        <w:rPr>
          <w:rFonts w:cs="Times New Roman"/>
          <w:sz w:val="24"/>
          <w:szCs w:val="24"/>
        </w:rPr>
        <w:t>спектроанализатора</w:t>
      </w:r>
      <w:proofErr w:type="spellEnd"/>
      <w:r w:rsidRPr="00E87162">
        <w:rPr>
          <w:rFonts w:cs="Times New Roman"/>
          <w:sz w:val="24"/>
          <w:szCs w:val="24"/>
        </w:rPr>
        <w:t>.</w:t>
      </w:r>
    </w:p>
    <w:p w14:paraId="21B92E7D" w14:textId="7738F2D4" w:rsidR="007D290F" w:rsidRPr="00E87162" w:rsidRDefault="007D290F" w:rsidP="005E5522">
      <w:pPr>
        <w:spacing w:line="240" w:lineRule="auto"/>
        <w:ind w:left="397" w:firstLine="708"/>
        <w:rPr>
          <w:rFonts w:cs="Times New Roman"/>
          <w:sz w:val="24"/>
          <w:szCs w:val="24"/>
        </w:rPr>
      </w:pPr>
      <w:r w:rsidRPr="00E87162">
        <w:rPr>
          <w:rFonts w:cs="Times New Roman"/>
          <w:sz w:val="24"/>
          <w:szCs w:val="24"/>
        </w:rPr>
        <w:t>Результаты исследования показали, что качество принимаемого сигнала зависит от полосы пропускания AWGR. По мере увеличения полосы пропускания BER уменьшается, и, следовательно, количество правильно принятых битов уменьшается</w:t>
      </w:r>
      <w:r w:rsidRPr="00E87162">
        <w:rPr>
          <w:rFonts w:cs="Times New Roman"/>
          <w:sz w:val="24"/>
          <w:szCs w:val="24"/>
        </w:rPr>
        <w:t>.</w:t>
      </w:r>
    </w:p>
    <w:p w14:paraId="62983AE4" w14:textId="77777777" w:rsidR="00B210F0" w:rsidRPr="00E87162" w:rsidRDefault="00B210F0" w:rsidP="005E5522">
      <w:pPr>
        <w:spacing w:line="240" w:lineRule="auto"/>
        <w:ind w:left="397" w:firstLine="708"/>
        <w:rPr>
          <w:rFonts w:cs="Times New Roman"/>
          <w:sz w:val="24"/>
          <w:szCs w:val="24"/>
        </w:rPr>
      </w:pPr>
      <w:r w:rsidRPr="00E87162">
        <w:rPr>
          <w:rFonts w:cs="Times New Roman"/>
          <w:sz w:val="24"/>
          <w:szCs w:val="24"/>
        </w:rPr>
        <w:t>Исследуемая схема передатчика использует OFDM для мультиплексирования множества оптических сигналов, что является примечательной отличительной характеристикой. OFDM предлагает существенные преимущества с точки зрения высокой пропускной способности и эффективности спектра. Дополнительная отличительная особенность заключается в потенциальной конструкции передатчика, использующего методы, которые интегрируют все оптические элементы — такие как лазеры, модуляторы, волноводы и решетки — в единую интегральную схему.</w:t>
      </w:r>
    </w:p>
    <w:p w14:paraId="680F2562" w14:textId="77777777" w:rsidR="007E225A" w:rsidRPr="00E87162" w:rsidRDefault="007E225A" w:rsidP="005E5522">
      <w:pPr>
        <w:spacing w:after="0" w:line="240" w:lineRule="auto"/>
        <w:ind w:left="397"/>
        <w:rPr>
          <w:rFonts w:cs="Times New Roman"/>
          <w:color w:val="000000" w:themeColor="text1"/>
          <w:sz w:val="24"/>
          <w:szCs w:val="24"/>
        </w:rPr>
      </w:pPr>
    </w:p>
    <w:p w14:paraId="4E2C3BFE" w14:textId="77777777" w:rsidR="0012301E" w:rsidRPr="00E87162" w:rsidRDefault="0012301E" w:rsidP="003E2299">
      <w:pPr>
        <w:spacing w:line="240" w:lineRule="auto"/>
        <w:ind w:left="397" w:firstLine="426"/>
        <w:jc w:val="center"/>
        <w:rPr>
          <w:rFonts w:cs="Times New Roman"/>
          <w:b/>
          <w:color w:val="000000"/>
          <w:sz w:val="24"/>
          <w:szCs w:val="24"/>
        </w:rPr>
      </w:pPr>
      <w:r w:rsidRPr="00E87162">
        <w:rPr>
          <w:rFonts w:cs="Times New Roman"/>
          <w:b/>
          <w:color w:val="000000"/>
          <w:sz w:val="24"/>
          <w:szCs w:val="24"/>
        </w:rPr>
        <w:t>Литература</w:t>
      </w:r>
    </w:p>
    <w:p w14:paraId="05E6FB12" w14:textId="31889437" w:rsidR="006219C8" w:rsidRPr="006219C8" w:rsidRDefault="006219C8" w:rsidP="006219C8">
      <w:pPr>
        <w:numPr>
          <w:ilvl w:val="0"/>
          <w:numId w:val="3"/>
        </w:numPr>
        <w:spacing w:after="0" w:line="240" w:lineRule="auto"/>
        <w:ind w:left="397"/>
        <w:contextualSpacing/>
        <w:rPr>
          <w:rFonts w:cs="Times New Roman"/>
          <w:sz w:val="24"/>
          <w:szCs w:val="24"/>
        </w:rPr>
      </w:pPr>
      <w:proofErr w:type="spellStart"/>
      <w:r w:rsidRPr="00E87162">
        <w:rPr>
          <w:rFonts w:cs="Times New Roman"/>
          <w:sz w:val="24"/>
          <w:szCs w:val="24"/>
        </w:rPr>
        <w:t>Листвин</w:t>
      </w:r>
      <w:proofErr w:type="spellEnd"/>
      <w:r w:rsidRPr="00E87162">
        <w:rPr>
          <w:rFonts w:cs="Times New Roman"/>
          <w:sz w:val="24"/>
          <w:szCs w:val="24"/>
        </w:rPr>
        <w:t xml:space="preserve"> В.Н., </w:t>
      </w:r>
      <w:proofErr w:type="spellStart"/>
      <w:r w:rsidRPr="00E87162">
        <w:rPr>
          <w:rFonts w:cs="Times New Roman"/>
          <w:sz w:val="24"/>
          <w:szCs w:val="24"/>
        </w:rPr>
        <w:t>Трещиков</w:t>
      </w:r>
      <w:proofErr w:type="spellEnd"/>
      <w:r w:rsidRPr="00E87162">
        <w:rPr>
          <w:rFonts w:cs="Times New Roman"/>
          <w:sz w:val="24"/>
          <w:szCs w:val="24"/>
        </w:rPr>
        <w:t xml:space="preserve"> В.Н. DWDM системы: научное издание // Издательский Дом «Наука». 2017. С. 300.</w:t>
      </w:r>
    </w:p>
    <w:p w14:paraId="4E5E7313" w14:textId="54D6BA01" w:rsidR="000633A1" w:rsidRDefault="000633A1" w:rsidP="005E5522">
      <w:pPr>
        <w:numPr>
          <w:ilvl w:val="0"/>
          <w:numId w:val="3"/>
        </w:numPr>
        <w:spacing w:after="0" w:line="240" w:lineRule="auto"/>
        <w:ind w:left="397"/>
        <w:contextualSpacing/>
        <w:rPr>
          <w:rFonts w:cs="Times New Roman"/>
          <w:sz w:val="24"/>
          <w:szCs w:val="24"/>
        </w:rPr>
      </w:pPr>
      <w:r w:rsidRPr="00E87162">
        <w:rPr>
          <w:rFonts w:cs="Times New Roman"/>
          <w:sz w:val="24"/>
          <w:szCs w:val="24"/>
        </w:rPr>
        <w:t xml:space="preserve">Поповский Н.И., Давыдов В.В., </w:t>
      </w:r>
      <w:proofErr w:type="spellStart"/>
      <w:r w:rsidRPr="00E87162">
        <w:rPr>
          <w:rFonts w:cs="Times New Roman"/>
          <w:sz w:val="24"/>
          <w:szCs w:val="24"/>
        </w:rPr>
        <w:t>Рудь</w:t>
      </w:r>
      <w:proofErr w:type="spellEnd"/>
      <w:r w:rsidRPr="00E87162">
        <w:rPr>
          <w:rFonts w:cs="Times New Roman"/>
          <w:sz w:val="24"/>
          <w:szCs w:val="24"/>
        </w:rPr>
        <w:t xml:space="preserve"> В.Ю. Особенности построения волоконно-оптических линий связи с ортогональным частотным разделением каналов // Научно-технические ведомости </w:t>
      </w:r>
      <w:proofErr w:type="spellStart"/>
      <w:r w:rsidRPr="00E87162">
        <w:rPr>
          <w:rFonts w:cs="Times New Roman"/>
          <w:sz w:val="24"/>
          <w:szCs w:val="24"/>
        </w:rPr>
        <w:t>СПбГПУ</w:t>
      </w:r>
      <w:proofErr w:type="spellEnd"/>
      <w:r w:rsidRPr="00E87162">
        <w:rPr>
          <w:rFonts w:cs="Times New Roman"/>
          <w:sz w:val="24"/>
          <w:szCs w:val="24"/>
        </w:rPr>
        <w:t>: Физико-математические науки. 2022. Том 15. № 3.2. С. 178-183.</w:t>
      </w:r>
    </w:p>
    <w:p w14:paraId="7A7518BA" w14:textId="472F5861" w:rsidR="006219C8" w:rsidRPr="006219C8" w:rsidRDefault="006219C8" w:rsidP="006219C8">
      <w:pPr>
        <w:numPr>
          <w:ilvl w:val="0"/>
          <w:numId w:val="3"/>
        </w:numPr>
        <w:spacing w:after="0" w:line="240" w:lineRule="auto"/>
        <w:ind w:left="397"/>
        <w:contextualSpacing/>
        <w:rPr>
          <w:rFonts w:cs="Times New Roman"/>
          <w:sz w:val="24"/>
          <w:szCs w:val="24"/>
        </w:rPr>
      </w:pPr>
      <w:r w:rsidRPr="00E87162">
        <w:rPr>
          <w:rFonts w:cs="Times New Roman"/>
          <w:sz w:val="24"/>
          <w:szCs w:val="24"/>
        </w:rPr>
        <w:t xml:space="preserve">Сперанский В.С., Абрамов С.В., </w:t>
      </w:r>
      <w:proofErr w:type="spellStart"/>
      <w:r w:rsidRPr="00E87162">
        <w:rPr>
          <w:rFonts w:cs="Times New Roman"/>
          <w:sz w:val="24"/>
          <w:szCs w:val="24"/>
        </w:rPr>
        <w:t>Клинцов</w:t>
      </w:r>
      <w:proofErr w:type="spellEnd"/>
      <w:r w:rsidRPr="00E87162">
        <w:rPr>
          <w:rFonts w:cs="Times New Roman"/>
          <w:sz w:val="24"/>
          <w:szCs w:val="24"/>
        </w:rPr>
        <w:t xml:space="preserve"> О.И. Сочетание кодового разделения абонентов и </w:t>
      </w:r>
      <w:r w:rsidRPr="00E87162">
        <w:rPr>
          <w:rFonts w:cs="Times New Roman"/>
          <w:sz w:val="24"/>
          <w:szCs w:val="24"/>
          <w:lang w:val="en-US"/>
        </w:rPr>
        <w:t>OFDM</w:t>
      </w:r>
      <w:r w:rsidRPr="00E87162">
        <w:rPr>
          <w:rFonts w:cs="Times New Roman"/>
          <w:sz w:val="24"/>
          <w:szCs w:val="24"/>
        </w:rPr>
        <w:t xml:space="preserve"> при передаче данных по волокну // </w:t>
      </w:r>
      <w:r w:rsidRPr="00E87162">
        <w:rPr>
          <w:rFonts w:cs="Times New Roman"/>
          <w:sz w:val="24"/>
          <w:szCs w:val="24"/>
          <w:lang w:val="en-US"/>
        </w:rPr>
        <w:t>T</w:t>
      </w:r>
      <w:r w:rsidRPr="00E87162">
        <w:rPr>
          <w:rFonts w:cs="Times New Roman"/>
          <w:sz w:val="24"/>
          <w:szCs w:val="24"/>
        </w:rPr>
        <w:t>-</w:t>
      </w:r>
      <w:r w:rsidRPr="00E87162">
        <w:rPr>
          <w:rFonts w:cs="Times New Roman"/>
          <w:sz w:val="24"/>
          <w:szCs w:val="24"/>
          <w:lang w:val="en-US"/>
        </w:rPr>
        <w:t>Comm</w:t>
      </w:r>
      <w:r w:rsidRPr="00E87162">
        <w:rPr>
          <w:rFonts w:cs="Times New Roman"/>
          <w:sz w:val="24"/>
          <w:szCs w:val="24"/>
        </w:rPr>
        <w:t>: Телекоммуникации и транспорт. 2019. Том 13. № 3. С. 32-35.</w:t>
      </w:r>
    </w:p>
    <w:sectPr w:rsidR="006219C8" w:rsidRPr="006219C8" w:rsidSect="00954D37">
      <w:footerReference w:type="default" r:id="rId13"/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89946" w14:textId="77777777" w:rsidR="00954D37" w:rsidRDefault="00954D37" w:rsidP="007B73EC">
      <w:pPr>
        <w:spacing w:after="0" w:line="240" w:lineRule="auto"/>
      </w:pPr>
      <w:r>
        <w:separator/>
      </w:r>
    </w:p>
  </w:endnote>
  <w:endnote w:type="continuationSeparator" w:id="0">
    <w:p w14:paraId="611FABAA" w14:textId="77777777" w:rsidR="00954D37" w:rsidRDefault="00954D37" w:rsidP="007B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0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1006027"/>
      <w:docPartObj>
        <w:docPartGallery w:val="Page Numbers (Bottom of Page)"/>
        <w:docPartUnique/>
      </w:docPartObj>
    </w:sdtPr>
    <w:sdtContent>
      <w:p w14:paraId="517B522B" w14:textId="77777777" w:rsidR="007B73EC" w:rsidRDefault="007B73E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01E">
          <w:rPr>
            <w:noProof/>
          </w:rPr>
          <w:t>1</w:t>
        </w:r>
        <w:r>
          <w:fldChar w:fldCharType="end"/>
        </w:r>
      </w:p>
    </w:sdtContent>
  </w:sdt>
  <w:p w14:paraId="030C0E0C" w14:textId="77777777" w:rsidR="007B73EC" w:rsidRDefault="007B73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908BF" w14:textId="77777777" w:rsidR="00954D37" w:rsidRDefault="00954D37" w:rsidP="007B73EC">
      <w:pPr>
        <w:spacing w:after="0" w:line="240" w:lineRule="auto"/>
      </w:pPr>
      <w:r>
        <w:separator/>
      </w:r>
    </w:p>
  </w:footnote>
  <w:footnote w:type="continuationSeparator" w:id="0">
    <w:p w14:paraId="24ED36C8" w14:textId="77777777" w:rsidR="00954D37" w:rsidRDefault="00954D37" w:rsidP="007B7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3559"/>
    <w:multiLevelType w:val="hybridMultilevel"/>
    <w:tmpl w:val="D054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C5BC2"/>
    <w:multiLevelType w:val="hybridMultilevel"/>
    <w:tmpl w:val="669E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846A0"/>
    <w:multiLevelType w:val="hybridMultilevel"/>
    <w:tmpl w:val="36EA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342D5"/>
    <w:multiLevelType w:val="hybridMultilevel"/>
    <w:tmpl w:val="C21072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38239195">
    <w:abstractNumId w:val="3"/>
  </w:num>
  <w:num w:numId="2" w16cid:durableId="916475215">
    <w:abstractNumId w:val="1"/>
  </w:num>
  <w:num w:numId="3" w16cid:durableId="402798163">
    <w:abstractNumId w:val="0"/>
  </w:num>
  <w:num w:numId="4" w16cid:durableId="230433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5FD"/>
    <w:rsid w:val="0000026C"/>
    <w:rsid w:val="000054C1"/>
    <w:rsid w:val="00007539"/>
    <w:rsid w:val="00012177"/>
    <w:rsid w:val="00013B39"/>
    <w:rsid w:val="000545AB"/>
    <w:rsid w:val="000633A1"/>
    <w:rsid w:val="00080F81"/>
    <w:rsid w:val="00083B34"/>
    <w:rsid w:val="0009774A"/>
    <w:rsid w:val="000B10CE"/>
    <w:rsid w:val="000B5891"/>
    <w:rsid w:val="000E25AD"/>
    <w:rsid w:val="000E489C"/>
    <w:rsid w:val="00100B67"/>
    <w:rsid w:val="001040C3"/>
    <w:rsid w:val="00113044"/>
    <w:rsid w:val="0012301E"/>
    <w:rsid w:val="00143AD3"/>
    <w:rsid w:val="0014734D"/>
    <w:rsid w:val="0016032D"/>
    <w:rsid w:val="0017346F"/>
    <w:rsid w:val="00184C2F"/>
    <w:rsid w:val="001A0BEB"/>
    <w:rsid w:val="001A1F2E"/>
    <w:rsid w:val="001B76AB"/>
    <w:rsid w:val="001D6025"/>
    <w:rsid w:val="001E0E33"/>
    <w:rsid w:val="00200B3A"/>
    <w:rsid w:val="002026E8"/>
    <w:rsid w:val="0020324F"/>
    <w:rsid w:val="002260CE"/>
    <w:rsid w:val="00244D93"/>
    <w:rsid w:val="00251EE3"/>
    <w:rsid w:val="00260C14"/>
    <w:rsid w:val="0027069B"/>
    <w:rsid w:val="00272CE7"/>
    <w:rsid w:val="00284A45"/>
    <w:rsid w:val="002A44E2"/>
    <w:rsid w:val="002B6D26"/>
    <w:rsid w:val="002C270D"/>
    <w:rsid w:val="002D214E"/>
    <w:rsid w:val="002E35C6"/>
    <w:rsid w:val="002E4C45"/>
    <w:rsid w:val="002E6690"/>
    <w:rsid w:val="00310D6B"/>
    <w:rsid w:val="00315541"/>
    <w:rsid w:val="00323EB9"/>
    <w:rsid w:val="00341F89"/>
    <w:rsid w:val="00350E5D"/>
    <w:rsid w:val="003708BA"/>
    <w:rsid w:val="00373E7A"/>
    <w:rsid w:val="0037783D"/>
    <w:rsid w:val="003A33C6"/>
    <w:rsid w:val="003A3815"/>
    <w:rsid w:val="003E2299"/>
    <w:rsid w:val="003E29E1"/>
    <w:rsid w:val="003F3225"/>
    <w:rsid w:val="003F3349"/>
    <w:rsid w:val="003F3D1D"/>
    <w:rsid w:val="0041567C"/>
    <w:rsid w:val="0046136D"/>
    <w:rsid w:val="00467B98"/>
    <w:rsid w:val="004A5471"/>
    <w:rsid w:val="004B4209"/>
    <w:rsid w:val="004C3E4C"/>
    <w:rsid w:val="004C4AEE"/>
    <w:rsid w:val="004D2EB6"/>
    <w:rsid w:val="004E1118"/>
    <w:rsid w:val="004F19C8"/>
    <w:rsid w:val="00517065"/>
    <w:rsid w:val="0052501F"/>
    <w:rsid w:val="005373FA"/>
    <w:rsid w:val="005612B2"/>
    <w:rsid w:val="00577325"/>
    <w:rsid w:val="005832D3"/>
    <w:rsid w:val="00585559"/>
    <w:rsid w:val="005965BC"/>
    <w:rsid w:val="005A64D0"/>
    <w:rsid w:val="005B09F6"/>
    <w:rsid w:val="005B45C8"/>
    <w:rsid w:val="005E5522"/>
    <w:rsid w:val="005F0F7E"/>
    <w:rsid w:val="005F5570"/>
    <w:rsid w:val="006219C8"/>
    <w:rsid w:val="00621EC7"/>
    <w:rsid w:val="006326FA"/>
    <w:rsid w:val="00632E51"/>
    <w:rsid w:val="006332CB"/>
    <w:rsid w:val="00650183"/>
    <w:rsid w:val="00655FDF"/>
    <w:rsid w:val="00656194"/>
    <w:rsid w:val="006714A6"/>
    <w:rsid w:val="006C1915"/>
    <w:rsid w:val="006D05EF"/>
    <w:rsid w:val="006E6673"/>
    <w:rsid w:val="006F45AE"/>
    <w:rsid w:val="00715125"/>
    <w:rsid w:val="0072426C"/>
    <w:rsid w:val="00755ADC"/>
    <w:rsid w:val="00785715"/>
    <w:rsid w:val="007A0CA6"/>
    <w:rsid w:val="007A76A3"/>
    <w:rsid w:val="007B73EC"/>
    <w:rsid w:val="007B7517"/>
    <w:rsid w:val="007C75E9"/>
    <w:rsid w:val="007D290F"/>
    <w:rsid w:val="007D687A"/>
    <w:rsid w:val="007E225A"/>
    <w:rsid w:val="00827A8B"/>
    <w:rsid w:val="00832C57"/>
    <w:rsid w:val="00841E25"/>
    <w:rsid w:val="00863A16"/>
    <w:rsid w:val="0086515A"/>
    <w:rsid w:val="00866CF1"/>
    <w:rsid w:val="008A72CE"/>
    <w:rsid w:val="008D3217"/>
    <w:rsid w:val="008D39E6"/>
    <w:rsid w:val="008E4CE7"/>
    <w:rsid w:val="009202E9"/>
    <w:rsid w:val="00954D37"/>
    <w:rsid w:val="009570A7"/>
    <w:rsid w:val="00966049"/>
    <w:rsid w:val="009A1D25"/>
    <w:rsid w:val="009A2A87"/>
    <w:rsid w:val="009B08CD"/>
    <w:rsid w:val="009B54F4"/>
    <w:rsid w:val="009B5FC3"/>
    <w:rsid w:val="009D50E2"/>
    <w:rsid w:val="00A1195A"/>
    <w:rsid w:val="00A33A45"/>
    <w:rsid w:val="00A41912"/>
    <w:rsid w:val="00A47BD5"/>
    <w:rsid w:val="00A553FF"/>
    <w:rsid w:val="00A61622"/>
    <w:rsid w:val="00A6415A"/>
    <w:rsid w:val="00A9595B"/>
    <w:rsid w:val="00AA26EA"/>
    <w:rsid w:val="00AB7DF5"/>
    <w:rsid w:val="00AD55FD"/>
    <w:rsid w:val="00AE4498"/>
    <w:rsid w:val="00B00C26"/>
    <w:rsid w:val="00B039E3"/>
    <w:rsid w:val="00B12C6C"/>
    <w:rsid w:val="00B1414C"/>
    <w:rsid w:val="00B148E6"/>
    <w:rsid w:val="00B210F0"/>
    <w:rsid w:val="00B239AB"/>
    <w:rsid w:val="00B35BD2"/>
    <w:rsid w:val="00B404E7"/>
    <w:rsid w:val="00B45D16"/>
    <w:rsid w:val="00B53F81"/>
    <w:rsid w:val="00B55A01"/>
    <w:rsid w:val="00B6008A"/>
    <w:rsid w:val="00B94E83"/>
    <w:rsid w:val="00BB615B"/>
    <w:rsid w:val="00BC59C0"/>
    <w:rsid w:val="00C228FB"/>
    <w:rsid w:val="00C40A7C"/>
    <w:rsid w:val="00C61C2C"/>
    <w:rsid w:val="00C8042C"/>
    <w:rsid w:val="00CA03B1"/>
    <w:rsid w:val="00CB23D2"/>
    <w:rsid w:val="00CB2AD0"/>
    <w:rsid w:val="00CB6D30"/>
    <w:rsid w:val="00D259A5"/>
    <w:rsid w:val="00D60796"/>
    <w:rsid w:val="00D664D4"/>
    <w:rsid w:val="00D8626A"/>
    <w:rsid w:val="00D9069D"/>
    <w:rsid w:val="00D906BF"/>
    <w:rsid w:val="00D9247B"/>
    <w:rsid w:val="00DB5301"/>
    <w:rsid w:val="00DB7966"/>
    <w:rsid w:val="00DC6560"/>
    <w:rsid w:val="00DC7EBB"/>
    <w:rsid w:val="00DE2352"/>
    <w:rsid w:val="00DF165F"/>
    <w:rsid w:val="00E06D53"/>
    <w:rsid w:val="00E167C3"/>
    <w:rsid w:val="00E207A5"/>
    <w:rsid w:val="00E31624"/>
    <w:rsid w:val="00E37624"/>
    <w:rsid w:val="00E42862"/>
    <w:rsid w:val="00E67950"/>
    <w:rsid w:val="00E82668"/>
    <w:rsid w:val="00E87162"/>
    <w:rsid w:val="00EB02DB"/>
    <w:rsid w:val="00EB4B0B"/>
    <w:rsid w:val="00EB5EC9"/>
    <w:rsid w:val="00EE4A14"/>
    <w:rsid w:val="00EE78F8"/>
    <w:rsid w:val="00EF2686"/>
    <w:rsid w:val="00EF4EA5"/>
    <w:rsid w:val="00F27609"/>
    <w:rsid w:val="00F36AF6"/>
    <w:rsid w:val="00F41FCA"/>
    <w:rsid w:val="00F5419A"/>
    <w:rsid w:val="00F61A09"/>
    <w:rsid w:val="00F82505"/>
    <w:rsid w:val="00FB0C5C"/>
    <w:rsid w:val="00FB4F42"/>
    <w:rsid w:val="00FD78DA"/>
    <w:rsid w:val="00FE38DC"/>
    <w:rsid w:val="00FE3B67"/>
    <w:rsid w:val="00FE50F5"/>
    <w:rsid w:val="00FE5B1D"/>
    <w:rsid w:val="00FE6E7E"/>
    <w:rsid w:val="00FF4939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4354"/>
  <w15:chartTrackingRefBased/>
  <w15:docId w15:val="{9F052ADC-C5EE-40AD-BE8B-203DDEC7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BD2"/>
    <w:pPr>
      <w:spacing w:after="4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5E5522"/>
    <w:pPr>
      <w:keepNext/>
      <w:keepLines/>
      <w:spacing w:after="0" w:line="240" w:lineRule="auto"/>
      <w:jc w:val="center"/>
      <w:outlineLvl w:val="0"/>
    </w:pPr>
    <w:rPr>
      <w:rFonts w:eastAsiaTheme="majorEastAsia" w:cs="Times New Roman"/>
      <w:b/>
      <w:bCs/>
      <w:color w:val="000000" w:themeColor="text1"/>
      <w:sz w:val="24"/>
      <w:szCs w:val="24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AD55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522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D55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D55F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0054C1"/>
    <w:pPr>
      <w:spacing w:after="160"/>
      <w:ind w:left="720"/>
      <w:contextualSpacing/>
      <w:jc w:val="left"/>
    </w:pPr>
    <w:rPr>
      <w:rFonts w:asciiTheme="minorHAnsi" w:hAnsiTheme="minorHAnsi"/>
    </w:rPr>
  </w:style>
  <w:style w:type="character" w:customStyle="1" w:styleId="a5">
    <w:name w:val="Абзац списка Знак"/>
    <w:link w:val="a4"/>
    <w:uiPriority w:val="34"/>
    <w:rsid w:val="000054C1"/>
  </w:style>
  <w:style w:type="paragraph" w:styleId="a6">
    <w:name w:val="Balloon Text"/>
    <w:basedOn w:val="a"/>
    <w:link w:val="a7"/>
    <w:uiPriority w:val="99"/>
    <w:semiHidden/>
    <w:unhideWhenUsed/>
    <w:rsid w:val="00D9247B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47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B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73EC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rsid w:val="007B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73EC"/>
    <w:rPr>
      <w:rFonts w:ascii="Times New Roman" w:hAnsi="Times New Roman"/>
    </w:rPr>
  </w:style>
  <w:style w:type="character" w:styleId="ac">
    <w:name w:val="Placeholder Text"/>
    <w:basedOn w:val="a0"/>
    <w:uiPriority w:val="99"/>
    <w:semiHidden/>
    <w:rsid w:val="0000026C"/>
    <w:rPr>
      <w:color w:val="808080"/>
    </w:rPr>
  </w:style>
  <w:style w:type="character" w:styleId="ad">
    <w:name w:val="Hyperlink"/>
    <w:basedOn w:val="a0"/>
    <w:uiPriority w:val="99"/>
    <w:unhideWhenUsed/>
    <w:rsid w:val="006714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4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59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425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92102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1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04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05066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53724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itanikita24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F08A1-872D-42F8-B81A-A7DF1AB4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Никита Поповский</cp:lastModifiedBy>
  <cp:revision>192</cp:revision>
  <dcterms:created xsi:type="dcterms:W3CDTF">2018-02-05T18:38:00Z</dcterms:created>
  <dcterms:modified xsi:type="dcterms:W3CDTF">2024-02-15T18:43:00Z</dcterms:modified>
</cp:coreProperties>
</file>