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DE4C" w14:textId="212CA5C0" w:rsidR="00A613CD" w:rsidRPr="00A613CD" w:rsidRDefault="00A613CD" w:rsidP="00A613CD">
      <w:pPr>
        <w:jc w:val="center"/>
        <w:rPr>
          <w:rFonts w:cs="Times New Roman"/>
          <w:b/>
          <w:bCs/>
          <w:sz w:val="24"/>
          <w:szCs w:val="24"/>
        </w:rPr>
      </w:pPr>
      <w:r w:rsidRPr="00A613CD">
        <w:rPr>
          <w:rFonts w:cs="Times New Roman"/>
          <w:b/>
          <w:bCs/>
          <w:sz w:val="24"/>
          <w:szCs w:val="24"/>
        </w:rPr>
        <w:t>Применение термокондуктометрических датчиков для обнаружения водорода</w:t>
      </w:r>
      <w:r w:rsidR="00AC70E7">
        <w:rPr>
          <w:rFonts w:cs="Times New Roman"/>
          <w:b/>
          <w:bCs/>
          <w:sz w:val="24"/>
          <w:szCs w:val="24"/>
        </w:rPr>
        <w:t xml:space="preserve"> в воздухе</w:t>
      </w:r>
    </w:p>
    <w:p w14:paraId="6266CA90" w14:textId="5518A9FD" w:rsidR="00A613CD" w:rsidRPr="007A4A2F" w:rsidRDefault="00A613CD" w:rsidP="007A4A2F">
      <w:pPr>
        <w:jc w:val="center"/>
        <w:rPr>
          <w:rFonts w:cs="Times New Roman"/>
          <w:i/>
          <w:iCs/>
          <w:color w:val="353535"/>
          <w:sz w:val="24"/>
          <w:szCs w:val="24"/>
        </w:rPr>
      </w:pPr>
      <w:r w:rsidRPr="00A613CD">
        <w:rPr>
          <w:rStyle w:val="ad"/>
          <w:rFonts w:cs="Times New Roman"/>
          <w:i/>
          <w:iCs/>
          <w:color w:val="353535"/>
          <w:sz w:val="24"/>
          <w:szCs w:val="24"/>
        </w:rPr>
        <w:t xml:space="preserve">Ельянов А.Е., </w:t>
      </w:r>
      <w:r w:rsidR="007A4A2F">
        <w:rPr>
          <w:rStyle w:val="ad"/>
          <w:rFonts w:cs="Times New Roman"/>
          <w:i/>
          <w:iCs/>
          <w:color w:val="353535"/>
          <w:sz w:val="24"/>
          <w:szCs w:val="24"/>
        </w:rPr>
        <w:t xml:space="preserve">Бочарников В.М., </w:t>
      </w:r>
      <w:r w:rsidRPr="00A613CD">
        <w:rPr>
          <w:rStyle w:val="ad"/>
          <w:rFonts w:cs="Times New Roman"/>
          <w:i/>
          <w:iCs/>
          <w:color w:val="353535"/>
          <w:sz w:val="24"/>
          <w:szCs w:val="24"/>
        </w:rPr>
        <w:t xml:space="preserve">Володин </w:t>
      </w:r>
      <w:proofErr w:type="gramStart"/>
      <w:r w:rsidRPr="00A613CD">
        <w:rPr>
          <w:rStyle w:val="ad"/>
          <w:rFonts w:cs="Times New Roman"/>
          <w:i/>
          <w:iCs/>
          <w:color w:val="353535"/>
          <w:sz w:val="24"/>
          <w:szCs w:val="24"/>
        </w:rPr>
        <w:t>В.В.</w:t>
      </w:r>
      <w:proofErr w:type="gramEnd"/>
      <w:r w:rsidRPr="00A613CD">
        <w:rPr>
          <w:rStyle w:val="ad"/>
          <w:rFonts w:cs="Times New Roman"/>
          <w:i/>
          <w:iCs/>
          <w:color w:val="353535"/>
          <w:sz w:val="24"/>
          <w:szCs w:val="24"/>
        </w:rPr>
        <w:t>, Голуб В.В.</w:t>
      </w:r>
      <w:r w:rsidR="007A4A2F">
        <w:rPr>
          <w:rStyle w:val="ad"/>
          <w:rFonts w:cs="Times New Roman"/>
          <w:i/>
          <w:iCs/>
          <w:color w:val="353535"/>
          <w:sz w:val="24"/>
          <w:szCs w:val="24"/>
        </w:rPr>
        <w:t>, Денцель Н.К.</w:t>
      </w:r>
    </w:p>
    <w:p w14:paraId="1C75D566" w14:textId="3C44F0F1" w:rsidR="00A613CD" w:rsidRPr="00A613CD" w:rsidRDefault="00A613CD" w:rsidP="00A613CD">
      <w:pPr>
        <w:jc w:val="center"/>
        <w:rPr>
          <w:rFonts w:cs="Times New Roman"/>
          <w:color w:val="353535"/>
          <w:sz w:val="24"/>
          <w:szCs w:val="24"/>
        </w:rPr>
      </w:pPr>
      <w:r w:rsidRPr="00A613CD">
        <w:rPr>
          <w:rStyle w:val="ae"/>
          <w:rFonts w:cs="Times New Roman"/>
          <w:color w:val="353535"/>
          <w:sz w:val="24"/>
          <w:szCs w:val="24"/>
        </w:rPr>
        <w:t>Аспирант</w:t>
      </w:r>
    </w:p>
    <w:p w14:paraId="605BBAD7" w14:textId="0658F5F8" w:rsidR="00A613CD" w:rsidRPr="00A613CD" w:rsidRDefault="00A613CD" w:rsidP="00A613CD">
      <w:pPr>
        <w:jc w:val="center"/>
        <w:rPr>
          <w:rFonts w:cs="Times New Roman"/>
          <w:color w:val="353535"/>
          <w:sz w:val="24"/>
          <w:szCs w:val="24"/>
        </w:rPr>
      </w:pPr>
      <w:r w:rsidRPr="00A613CD">
        <w:rPr>
          <w:rStyle w:val="ae"/>
          <w:rFonts w:cs="Times New Roman"/>
          <w:color w:val="353535"/>
          <w:sz w:val="24"/>
          <w:szCs w:val="24"/>
        </w:rPr>
        <w:t>Объединенный институт высоких температур РАН, Москва, Россия</w:t>
      </w:r>
    </w:p>
    <w:p w14:paraId="3A1BB2A2" w14:textId="35DDD082" w:rsidR="00A613CD" w:rsidRPr="00A613CD" w:rsidRDefault="00A613CD" w:rsidP="00A613CD">
      <w:pPr>
        <w:jc w:val="center"/>
        <w:rPr>
          <w:rFonts w:cs="Times New Roman"/>
          <w:color w:val="353535"/>
          <w:sz w:val="24"/>
          <w:szCs w:val="24"/>
          <w:lang w:val="en-US"/>
        </w:rPr>
      </w:pPr>
      <w:r w:rsidRPr="00A613CD">
        <w:rPr>
          <w:rStyle w:val="ae"/>
          <w:rFonts w:cs="Times New Roman"/>
          <w:i w:val="0"/>
          <w:iCs w:val="0"/>
          <w:color w:val="353535"/>
          <w:sz w:val="24"/>
          <w:szCs w:val="24"/>
          <w:lang w:val="en-US"/>
        </w:rPr>
        <w:t xml:space="preserve">E–mail: </w:t>
      </w:r>
      <w:r>
        <w:rPr>
          <w:rStyle w:val="ae"/>
          <w:rFonts w:cs="Times New Roman"/>
          <w:i w:val="0"/>
          <w:iCs w:val="0"/>
          <w:color w:val="353535"/>
          <w:sz w:val="24"/>
          <w:szCs w:val="24"/>
          <w:lang w:val="en-US"/>
        </w:rPr>
        <w:t>elyanov14</w:t>
      </w:r>
      <w:r w:rsidRPr="00A613CD">
        <w:rPr>
          <w:rStyle w:val="ae"/>
          <w:rFonts w:cs="Times New Roman"/>
          <w:i w:val="0"/>
          <w:iCs w:val="0"/>
          <w:color w:val="353535"/>
          <w:sz w:val="24"/>
          <w:szCs w:val="24"/>
          <w:lang w:val="en-US"/>
        </w:rPr>
        <w:t>@</w:t>
      </w:r>
      <w:r>
        <w:rPr>
          <w:rStyle w:val="ae"/>
          <w:rFonts w:cs="Times New Roman"/>
          <w:i w:val="0"/>
          <w:iCs w:val="0"/>
          <w:color w:val="353535"/>
          <w:sz w:val="24"/>
          <w:szCs w:val="24"/>
          <w:lang w:val="en-US"/>
        </w:rPr>
        <w:t>physics.msu.</w:t>
      </w:r>
      <w:r w:rsidRPr="00A613CD">
        <w:rPr>
          <w:rStyle w:val="ae"/>
          <w:rFonts w:cs="Times New Roman"/>
          <w:i w:val="0"/>
          <w:iCs w:val="0"/>
          <w:color w:val="353535"/>
          <w:sz w:val="24"/>
          <w:szCs w:val="24"/>
          <w:lang w:val="en-US"/>
        </w:rPr>
        <w:t>ru</w:t>
      </w:r>
    </w:p>
    <w:p w14:paraId="51FA8A3C" w14:textId="65BBF6CC" w:rsidR="00A613CD" w:rsidRDefault="00A613CD" w:rsidP="007A4A2F">
      <w:pPr>
        <w:ind w:firstLine="426"/>
        <w:jc w:val="both"/>
        <w:rPr>
          <w:rFonts w:cs="Times New Roman"/>
          <w:color w:val="353535"/>
          <w:sz w:val="24"/>
          <w:szCs w:val="24"/>
        </w:rPr>
      </w:pPr>
      <w:r w:rsidRPr="00A613CD">
        <w:rPr>
          <w:rFonts w:cs="Times New Roman"/>
          <w:color w:val="353535"/>
          <w:sz w:val="24"/>
          <w:szCs w:val="24"/>
        </w:rPr>
        <w:t xml:space="preserve">В лабораторных исследованиях смешения газов и для контроля атмосферы на промышленных и энергетических объектах часто требуется быстрое детектирование возникающих газовых потоков и определение их состава. Среди современных быстродействующих датчиков газа известны электрохимические, инфракрасные, акустические и термокондуктометрические. Измерение концентрации водорода в смеси с воздухом в пределах от 0 до 100 </w:t>
      </w:r>
      <w:proofErr w:type="gramStart"/>
      <w:r w:rsidRPr="00A613CD">
        <w:rPr>
          <w:rFonts w:cs="Times New Roman"/>
          <w:color w:val="353535"/>
          <w:sz w:val="24"/>
          <w:szCs w:val="24"/>
        </w:rPr>
        <w:t>об.%</w:t>
      </w:r>
      <w:proofErr w:type="gramEnd"/>
      <w:r w:rsidRPr="00A613CD">
        <w:rPr>
          <w:rFonts w:cs="Times New Roman"/>
          <w:color w:val="353535"/>
          <w:sz w:val="24"/>
          <w:szCs w:val="24"/>
        </w:rPr>
        <w:t xml:space="preserve"> </w:t>
      </w:r>
      <w:r w:rsidR="007A4A2F">
        <w:rPr>
          <w:rFonts w:cs="Times New Roman"/>
          <w:color w:val="353535"/>
          <w:sz w:val="24"/>
          <w:szCs w:val="24"/>
        </w:rPr>
        <w:t xml:space="preserve">в настоящее время </w:t>
      </w:r>
      <w:r w:rsidRPr="00A613CD">
        <w:rPr>
          <w:rFonts w:cs="Times New Roman"/>
          <w:color w:val="353535"/>
          <w:sz w:val="24"/>
          <w:szCs w:val="24"/>
        </w:rPr>
        <w:t xml:space="preserve">возможно </w:t>
      </w:r>
      <w:r>
        <w:rPr>
          <w:rFonts w:cs="Times New Roman"/>
          <w:color w:val="353535"/>
          <w:sz w:val="24"/>
          <w:szCs w:val="24"/>
        </w:rPr>
        <w:t xml:space="preserve">только </w:t>
      </w:r>
      <w:r w:rsidRPr="00A613CD">
        <w:rPr>
          <w:rFonts w:cs="Times New Roman"/>
          <w:color w:val="353535"/>
          <w:sz w:val="24"/>
          <w:szCs w:val="24"/>
        </w:rPr>
        <w:t xml:space="preserve">с использованием термокондуктометрических датчиков. Однако, исходя из принципа их действия, они обладают низкой селективностью, а также, на показания влияют скорость потока и давление тестируемого газа. </w:t>
      </w:r>
      <w:r w:rsidR="007A4A2F">
        <w:rPr>
          <w:rFonts w:cs="Times New Roman"/>
          <w:color w:val="353535"/>
          <w:sz w:val="24"/>
          <w:szCs w:val="24"/>
        </w:rPr>
        <w:t xml:space="preserve">В большинстве научных работ термокондуктометрические датчики применяются для измерения малых объемных концентраций водорода. </w:t>
      </w:r>
      <w:r w:rsidRPr="00A613CD">
        <w:rPr>
          <w:rFonts w:cs="Times New Roman"/>
          <w:color w:val="353535"/>
          <w:sz w:val="24"/>
          <w:szCs w:val="24"/>
        </w:rPr>
        <w:t>Например, в статье [1] представлены результаты тестирования PdAu датчиков для измерения концентрации водорода до 3 об.%. В</w:t>
      </w:r>
      <w:r w:rsidR="007A4A2F">
        <w:rPr>
          <w:rFonts w:cs="Times New Roman"/>
          <w:color w:val="353535"/>
          <w:sz w:val="24"/>
          <w:szCs w:val="24"/>
        </w:rPr>
        <w:t xml:space="preserve"> работе</w:t>
      </w:r>
      <w:r w:rsidRPr="00A613CD">
        <w:rPr>
          <w:rFonts w:cs="Times New Roman"/>
          <w:color w:val="353535"/>
          <w:sz w:val="24"/>
          <w:szCs w:val="24"/>
        </w:rPr>
        <w:t xml:space="preserve"> [2] авторы исследовали влияние обработки подложки из TiO2-нанотрубок с электродами, выполненными из платины, палладия, золота или серебра, для измерения концентраций водорода до 5 об.%. В работе [</w:t>
      </w:r>
      <w:r w:rsidR="0015593D">
        <w:rPr>
          <w:rFonts w:cs="Times New Roman"/>
          <w:color w:val="353535"/>
          <w:sz w:val="24"/>
          <w:szCs w:val="24"/>
        </w:rPr>
        <w:t>3</w:t>
      </w:r>
      <w:r w:rsidRPr="00A613CD">
        <w:rPr>
          <w:rFonts w:cs="Times New Roman"/>
          <w:color w:val="353535"/>
          <w:sz w:val="24"/>
          <w:szCs w:val="24"/>
        </w:rPr>
        <w:t>] с использованием платиновых нагревателя и термометра показана возможность измерения концентраций метана в диапазоне от 0 до 100 об.%. В обзоре [</w:t>
      </w:r>
      <w:r w:rsidR="0015593D">
        <w:rPr>
          <w:rFonts w:cs="Times New Roman"/>
          <w:color w:val="353535"/>
          <w:sz w:val="24"/>
          <w:szCs w:val="24"/>
        </w:rPr>
        <w:t>4</w:t>
      </w:r>
      <w:r w:rsidRPr="00A613CD">
        <w:rPr>
          <w:rFonts w:cs="Times New Roman"/>
          <w:color w:val="353535"/>
          <w:sz w:val="24"/>
          <w:szCs w:val="24"/>
        </w:rPr>
        <w:t>] обобщены исследования термокондуктометрических датчиков на основе линейных наноструктур и представлены пределы измерения, обычно до 1000 ppm, и времена отклика в единицы секунд.</w:t>
      </w:r>
      <w:r>
        <w:rPr>
          <w:rFonts w:cs="Times New Roman"/>
          <w:color w:val="353535"/>
          <w:sz w:val="24"/>
          <w:szCs w:val="24"/>
        </w:rPr>
        <w:t xml:space="preserve"> </w:t>
      </w:r>
      <w:r w:rsidRPr="00A613CD">
        <w:rPr>
          <w:rFonts w:cs="Times New Roman"/>
          <w:color w:val="353535"/>
          <w:sz w:val="24"/>
          <w:szCs w:val="24"/>
        </w:rPr>
        <w:t>В настоящей работе рассматривается возможность использования термокондуктометрических датчиков для одновременного измерения скорости потока и концентрации водорода в движущейся смеси.</w:t>
      </w:r>
    </w:p>
    <w:p w14:paraId="3ED7D49D" w14:textId="74495206" w:rsidR="00A613CD" w:rsidRDefault="00A613CD" w:rsidP="007A4A2F">
      <w:pPr>
        <w:ind w:firstLine="426"/>
        <w:jc w:val="both"/>
        <w:rPr>
          <w:rFonts w:cs="Times New Roman"/>
          <w:color w:val="353535"/>
          <w:sz w:val="24"/>
          <w:szCs w:val="24"/>
        </w:rPr>
      </w:pPr>
      <w:r w:rsidRPr="00A613CD">
        <w:rPr>
          <w:rFonts w:cs="Times New Roman"/>
          <w:color w:val="353535"/>
          <w:sz w:val="24"/>
          <w:szCs w:val="24"/>
        </w:rPr>
        <w:t>Для получения информации о скорости потока и содержании водорода в газовой смеси использовались сборки, каждая из которых содержала по 2 датчика IST FS7: открытый</w:t>
      </w:r>
      <w:r w:rsidR="009B4050">
        <w:rPr>
          <w:rFonts w:cs="Times New Roman"/>
          <w:color w:val="353535"/>
          <w:sz w:val="24"/>
          <w:szCs w:val="24"/>
        </w:rPr>
        <w:t>, расположенный вдоль потока газа</w:t>
      </w:r>
      <w:r w:rsidRPr="00A613CD">
        <w:rPr>
          <w:rFonts w:cs="Times New Roman"/>
          <w:color w:val="353535"/>
          <w:sz w:val="24"/>
          <w:szCs w:val="24"/>
        </w:rPr>
        <w:t xml:space="preserve"> и закрытый проницаемым колпачком</w:t>
      </w:r>
      <w:r w:rsidR="009B4050">
        <w:rPr>
          <w:rFonts w:cs="Times New Roman"/>
          <w:color w:val="353535"/>
          <w:sz w:val="24"/>
          <w:szCs w:val="24"/>
        </w:rPr>
        <w:t>, расположенный перпендикулярно потоку</w:t>
      </w:r>
      <w:r w:rsidRPr="00A613CD">
        <w:rPr>
          <w:rFonts w:cs="Times New Roman"/>
          <w:color w:val="353535"/>
          <w:sz w:val="24"/>
          <w:szCs w:val="24"/>
        </w:rPr>
        <w:t xml:space="preserve"> (Рисунок </w:t>
      </w:r>
      <w:r w:rsidR="009B4050" w:rsidRPr="009B4050">
        <w:rPr>
          <w:rFonts w:cs="Times New Roman"/>
          <w:color w:val="353535"/>
          <w:sz w:val="24"/>
          <w:szCs w:val="24"/>
        </w:rPr>
        <w:t>1</w:t>
      </w:r>
      <w:r w:rsidRPr="00A613CD">
        <w:rPr>
          <w:rFonts w:cs="Times New Roman"/>
          <w:color w:val="353535"/>
          <w:sz w:val="24"/>
          <w:szCs w:val="24"/>
        </w:rPr>
        <w:t>).</w:t>
      </w:r>
    </w:p>
    <w:p w14:paraId="3128CE7D" w14:textId="77777777" w:rsidR="0015593D" w:rsidRDefault="00A613CD" w:rsidP="007A4A2F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2048365E" wp14:editId="154C9EAA">
            <wp:extent cx="3243262" cy="1348393"/>
            <wp:effectExtent l="0" t="0" r="0" b="4445"/>
            <wp:docPr id="3" name="Рисунок 5" descr="Эскиз датч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Эскиз датчи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02" cy="1353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701F31" w14:textId="6D13464C" w:rsidR="00A613CD" w:rsidRDefault="0015593D" w:rsidP="007A4A2F">
      <w:pPr>
        <w:pStyle w:val="af0"/>
        <w:jc w:val="both"/>
        <w:rPr>
          <w:rFonts w:cs="Times New Roman"/>
          <w:i w:val="0"/>
          <w:iCs w:val="0"/>
          <w:color w:val="353535"/>
          <w:sz w:val="24"/>
          <w:szCs w:val="24"/>
        </w:rPr>
      </w:pPr>
      <w:r w:rsidRPr="0015593D">
        <w:rPr>
          <w:rFonts w:cs="Times New Roman"/>
          <w:i w:val="0"/>
          <w:iCs w:val="0"/>
          <w:color w:val="353535"/>
          <w:sz w:val="24"/>
          <w:szCs w:val="24"/>
        </w:rPr>
        <w:t xml:space="preserve">Рисунок </w:t>
      </w:r>
      <w:r w:rsidRPr="0015593D">
        <w:rPr>
          <w:rFonts w:cs="Times New Roman"/>
          <w:i w:val="0"/>
          <w:iCs w:val="0"/>
          <w:color w:val="353535"/>
          <w:sz w:val="24"/>
          <w:szCs w:val="24"/>
        </w:rPr>
        <w:fldChar w:fldCharType="begin"/>
      </w:r>
      <w:r w:rsidRPr="0015593D">
        <w:rPr>
          <w:rFonts w:cs="Times New Roman"/>
          <w:i w:val="0"/>
          <w:iCs w:val="0"/>
          <w:color w:val="353535"/>
          <w:sz w:val="24"/>
          <w:szCs w:val="24"/>
        </w:rPr>
        <w:instrText xml:space="preserve"> SEQ Рисунок \* ARABIC </w:instrText>
      </w:r>
      <w:r w:rsidRPr="0015593D">
        <w:rPr>
          <w:rFonts w:cs="Times New Roman"/>
          <w:i w:val="0"/>
          <w:iCs w:val="0"/>
          <w:color w:val="353535"/>
          <w:sz w:val="24"/>
          <w:szCs w:val="24"/>
        </w:rPr>
        <w:fldChar w:fldCharType="separate"/>
      </w:r>
      <w:r w:rsidR="00EF2E57">
        <w:rPr>
          <w:rFonts w:cs="Times New Roman"/>
          <w:i w:val="0"/>
          <w:iCs w:val="0"/>
          <w:noProof/>
          <w:color w:val="353535"/>
          <w:sz w:val="24"/>
          <w:szCs w:val="24"/>
        </w:rPr>
        <w:t>1</w:t>
      </w:r>
      <w:r w:rsidRPr="0015593D">
        <w:rPr>
          <w:rFonts w:cs="Times New Roman"/>
          <w:i w:val="0"/>
          <w:iCs w:val="0"/>
          <w:color w:val="353535"/>
          <w:sz w:val="24"/>
          <w:szCs w:val="24"/>
        </w:rPr>
        <w:fldChar w:fldCharType="end"/>
      </w:r>
      <w:r>
        <w:rPr>
          <w:rFonts w:cs="Times New Roman"/>
          <w:i w:val="0"/>
          <w:iCs w:val="0"/>
          <w:color w:val="353535"/>
          <w:sz w:val="24"/>
          <w:szCs w:val="24"/>
        </w:rPr>
        <w:t>.</w:t>
      </w:r>
      <w:r w:rsidRPr="0015593D">
        <w:rPr>
          <w:rFonts w:cs="Times New Roman"/>
          <w:i w:val="0"/>
          <w:iCs w:val="0"/>
          <w:color w:val="353535"/>
          <w:sz w:val="24"/>
          <w:szCs w:val="24"/>
        </w:rPr>
        <w:t xml:space="preserve"> Схема сборки из двух датчиков: 1 – датчики IST FS7, 2 – проницаемые колпачок, 3 – корпус сборки</w:t>
      </w:r>
    </w:p>
    <w:p w14:paraId="1217F3E0" w14:textId="73905C29" w:rsidR="00EF2E57" w:rsidRPr="00622D86" w:rsidRDefault="00EF2E57" w:rsidP="007A4A2F">
      <w:pPr>
        <w:ind w:firstLine="426"/>
        <w:jc w:val="both"/>
        <w:rPr>
          <w:rFonts w:cs="Times New Roman"/>
          <w:color w:val="353535"/>
          <w:sz w:val="24"/>
          <w:szCs w:val="24"/>
        </w:rPr>
      </w:pPr>
      <w:r>
        <w:rPr>
          <w:rFonts w:cs="Times New Roman"/>
          <w:color w:val="353535"/>
          <w:sz w:val="24"/>
          <w:szCs w:val="24"/>
        </w:rPr>
        <w:t xml:space="preserve">На рисунке 2 показан график скорости потока газа и объемной концентрации водорода в смеси в процессе наполнения емкости объемом 40 литров до абсолютного давления </w:t>
      </w:r>
      <w:r w:rsidR="00AE6DC3">
        <w:rPr>
          <w:rFonts w:cs="Times New Roman"/>
          <w:color w:val="353535"/>
          <w:sz w:val="24"/>
          <w:szCs w:val="24"/>
        </w:rPr>
        <w:t>3</w:t>
      </w:r>
      <w:r>
        <w:rPr>
          <w:rFonts w:cs="Times New Roman"/>
          <w:color w:val="353535"/>
          <w:sz w:val="24"/>
          <w:szCs w:val="24"/>
        </w:rPr>
        <w:t xml:space="preserve"> атм. Емкость наполнялась водородом и воздухом последовательно. Сначала, вакуумированная до </w:t>
      </w:r>
      <w:r w:rsidR="007A4A2F">
        <w:rPr>
          <w:rFonts w:cs="Times New Roman"/>
          <w:color w:val="353535"/>
          <w:sz w:val="24"/>
          <w:szCs w:val="24"/>
        </w:rPr>
        <w:t xml:space="preserve">абсолютного </w:t>
      </w:r>
      <w:r>
        <w:rPr>
          <w:rFonts w:cs="Times New Roman"/>
          <w:color w:val="353535"/>
          <w:sz w:val="24"/>
          <w:szCs w:val="24"/>
        </w:rPr>
        <w:t xml:space="preserve">давления 10 Па емкость, была наполнена водородом, </w:t>
      </w:r>
      <w:r w:rsidR="00622D86">
        <w:rPr>
          <w:rFonts w:cs="Times New Roman"/>
          <w:color w:val="353535"/>
          <w:sz w:val="24"/>
          <w:szCs w:val="24"/>
        </w:rPr>
        <w:t>до</w:t>
      </w:r>
      <w:r w:rsidR="007A4A2F">
        <w:rPr>
          <w:rFonts w:cs="Times New Roman"/>
          <w:color w:val="353535"/>
          <w:sz w:val="24"/>
          <w:szCs w:val="24"/>
        </w:rPr>
        <w:t xml:space="preserve"> </w:t>
      </w:r>
      <w:r w:rsidR="00622D86">
        <w:rPr>
          <w:rFonts w:cs="Times New Roman"/>
          <w:color w:val="353535"/>
          <w:sz w:val="24"/>
          <w:szCs w:val="24"/>
        </w:rPr>
        <w:t>давления 1.</w:t>
      </w:r>
      <w:r w:rsidR="00AE6DC3">
        <w:rPr>
          <w:rFonts w:cs="Times New Roman"/>
          <w:color w:val="353535"/>
          <w:sz w:val="24"/>
          <w:szCs w:val="24"/>
        </w:rPr>
        <w:t>2</w:t>
      </w:r>
      <w:r w:rsidR="00622D86">
        <w:rPr>
          <w:rFonts w:cs="Times New Roman"/>
          <w:color w:val="353535"/>
          <w:sz w:val="24"/>
          <w:szCs w:val="24"/>
        </w:rPr>
        <w:t xml:space="preserve"> атм, соответствующего 40 об.% смеси с воздухом при абсолютном давлении </w:t>
      </w:r>
      <w:r w:rsidR="00AE6DC3">
        <w:rPr>
          <w:rFonts w:cs="Times New Roman"/>
          <w:color w:val="353535"/>
          <w:sz w:val="24"/>
          <w:szCs w:val="24"/>
        </w:rPr>
        <w:t>3</w:t>
      </w:r>
      <w:r w:rsidR="00622D86">
        <w:rPr>
          <w:rFonts w:cs="Times New Roman"/>
          <w:color w:val="353535"/>
          <w:sz w:val="24"/>
          <w:szCs w:val="24"/>
        </w:rPr>
        <w:t xml:space="preserve"> атм. Затем при помощи цифрового расходомера </w:t>
      </w:r>
      <w:r w:rsidR="00622D86" w:rsidRPr="00622D86">
        <w:rPr>
          <w:rFonts w:cs="Times New Roman"/>
          <w:color w:val="353535"/>
          <w:sz w:val="24"/>
          <w:szCs w:val="24"/>
        </w:rPr>
        <w:t>Bronkhorst F201A/V</w:t>
      </w:r>
      <w:r w:rsidR="00622D86">
        <w:rPr>
          <w:rFonts w:cs="Times New Roman"/>
          <w:color w:val="353535"/>
          <w:sz w:val="24"/>
          <w:szCs w:val="24"/>
        </w:rPr>
        <w:t xml:space="preserve"> емкость была </w:t>
      </w:r>
      <w:r w:rsidR="00622D86">
        <w:rPr>
          <w:rFonts w:cs="Times New Roman"/>
          <w:color w:val="353535"/>
          <w:sz w:val="24"/>
          <w:szCs w:val="24"/>
        </w:rPr>
        <w:lastRenderedPageBreak/>
        <w:t xml:space="preserve">заполнена недостающими </w:t>
      </w:r>
      <w:r w:rsidR="00AE6DC3">
        <w:rPr>
          <w:rFonts w:cs="Times New Roman"/>
          <w:color w:val="353535"/>
          <w:sz w:val="24"/>
          <w:szCs w:val="24"/>
        </w:rPr>
        <w:t>72</w:t>
      </w:r>
      <w:r w:rsidR="00622D86">
        <w:rPr>
          <w:rFonts w:cs="Times New Roman"/>
          <w:color w:val="353535"/>
          <w:sz w:val="24"/>
          <w:szCs w:val="24"/>
        </w:rPr>
        <w:t xml:space="preserve"> литрами воздуха с расходом 5 л</w:t>
      </w:r>
      <w:r w:rsidR="00622D86" w:rsidRPr="00622D86">
        <w:rPr>
          <w:rFonts w:cs="Times New Roman"/>
          <w:color w:val="353535"/>
          <w:sz w:val="24"/>
          <w:szCs w:val="24"/>
        </w:rPr>
        <w:t>/</w:t>
      </w:r>
      <w:r w:rsidR="00622D86">
        <w:rPr>
          <w:rFonts w:cs="Times New Roman"/>
          <w:color w:val="353535"/>
          <w:sz w:val="24"/>
          <w:szCs w:val="24"/>
        </w:rPr>
        <w:t>мин. На графике (Рисунок 2) момент окончания наполнения показан вертикальной линией. Установившееся значение концентрации соответствует значению, описанному в экспериментальной процедуре наполнения емкости.</w:t>
      </w:r>
      <w:r w:rsidR="005D38DF">
        <w:rPr>
          <w:rFonts w:cs="Times New Roman"/>
          <w:color w:val="353535"/>
          <w:sz w:val="24"/>
          <w:szCs w:val="24"/>
        </w:rPr>
        <w:t xml:space="preserve"> Потоки газа успокаиваются через 13 минут после окончания наполнения емкости. </w:t>
      </w:r>
      <w:r w:rsidR="00622D86">
        <w:rPr>
          <w:rFonts w:cs="Times New Roman"/>
          <w:color w:val="353535"/>
          <w:sz w:val="24"/>
          <w:szCs w:val="24"/>
        </w:rPr>
        <w:t xml:space="preserve">    </w:t>
      </w:r>
    </w:p>
    <w:p w14:paraId="218F760B" w14:textId="77777777" w:rsidR="00EF2E57" w:rsidRDefault="00EF2E57" w:rsidP="007A4A2F">
      <w:pPr>
        <w:keepNext/>
        <w:jc w:val="center"/>
      </w:pPr>
      <w:r w:rsidRPr="00EF2E57">
        <w:rPr>
          <w:rFonts w:cs="Times New Roman"/>
          <w:noProof/>
          <w:color w:val="353535"/>
          <w:sz w:val="24"/>
          <w:szCs w:val="24"/>
        </w:rPr>
        <w:drawing>
          <wp:inline distT="0" distB="0" distL="0" distR="0" wp14:anchorId="2B0A1A0A" wp14:editId="1BF9EDCF">
            <wp:extent cx="3505200" cy="2628995"/>
            <wp:effectExtent l="0" t="0" r="0" b="0"/>
            <wp:docPr id="548666343" name="Рисунок 2" descr="Изображение выглядит как текст, диаграмма, линия, Граф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66343" name="Рисунок 2" descr="Изображение выглядит как текст, диаграмма, линия, Графи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685" cy="263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B5B9A" w14:textId="46729C23" w:rsidR="0015593D" w:rsidRPr="007A4A2F" w:rsidRDefault="00EF2E57" w:rsidP="007A4A2F">
      <w:pPr>
        <w:pStyle w:val="af0"/>
        <w:jc w:val="center"/>
        <w:rPr>
          <w:rFonts w:cs="Times New Roman"/>
          <w:i w:val="0"/>
          <w:iCs w:val="0"/>
          <w:color w:val="353535"/>
          <w:sz w:val="24"/>
          <w:szCs w:val="24"/>
        </w:rPr>
      </w:pPr>
      <w:r w:rsidRPr="007A4A2F">
        <w:rPr>
          <w:rFonts w:cs="Times New Roman"/>
          <w:i w:val="0"/>
          <w:iCs w:val="0"/>
          <w:color w:val="353535"/>
          <w:sz w:val="24"/>
          <w:szCs w:val="24"/>
        </w:rPr>
        <w:t xml:space="preserve">Рисунок </w:t>
      </w:r>
      <w:r w:rsidRPr="007A4A2F">
        <w:rPr>
          <w:rFonts w:cs="Times New Roman"/>
          <w:i w:val="0"/>
          <w:iCs w:val="0"/>
          <w:color w:val="353535"/>
          <w:sz w:val="24"/>
          <w:szCs w:val="24"/>
        </w:rPr>
        <w:fldChar w:fldCharType="begin"/>
      </w:r>
      <w:r w:rsidRPr="007A4A2F">
        <w:rPr>
          <w:rFonts w:cs="Times New Roman"/>
          <w:i w:val="0"/>
          <w:iCs w:val="0"/>
          <w:color w:val="353535"/>
          <w:sz w:val="24"/>
          <w:szCs w:val="24"/>
        </w:rPr>
        <w:instrText xml:space="preserve"> SEQ Рисунок \* ARABIC </w:instrText>
      </w:r>
      <w:r w:rsidRPr="007A4A2F">
        <w:rPr>
          <w:rFonts w:cs="Times New Roman"/>
          <w:i w:val="0"/>
          <w:iCs w:val="0"/>
          <w:color w:val="353535"/>
          <w:sz w:val="24"/>
          <w:szCs w:val="24"/>
        </w:rPr>
        <w:fldChar w:fldCharType="separate"/>
      </w:r>
      <w:r w:rsidRPr="007A4A2F">
        <w:rPr>
          <w:rFonts w:cs="Times New Roman"/>
          <w:i w:val="0"/>
          <w:iCs w:val="0"/>
          <w:color w:val="353535"/>
          <w:sz w:val="24"/>
          <w:szCs w:val="24"/>
        </w:rPr>
        <w:t>2</w:t>
      </w:r>
      <w:r w:rsidRPr="007A4A2F">
        <w:rPr>
          <w:rFonts w:cs="Times New Roman"/>
          <w:i w:val="0"/>
          <w:iCs w:val="0"/>
          <w:color w:val="353535"/>
          <w:sz w:val="24"/>
          <w:szCs w:val="24"/>
        </w:rPr>
        <w:fldChar w:fldCharType="end"/>
      </w:r>
      <w:r w:rsidRPr="007A4A2F">
        <w:rPr>
          <w:rFonts w:cs="Times New Roman"/>
          <w:i w:val="0"/>
          <w:iCs w:val="0"/>
          <w:color w:val="353535"/>
          <w:sz w:val="24"/>
          <w:szCs w:val="24"/>
        </w:rPr>
        <w:t xml:space="preserve"> График скорости</w:t>
      </w:r>
      <w:r w:rsidR="007A4A2F">
        <w:rPr>
          <w:rFonts w:cs="Times New Roman"/>
          <w:i w:val="0"/>
          <w:iCs w:val="0"/>
          <w:color w:val="353535"/>
          <w:sz w:val="24"/>
          <w:szCs w:val="24"/>
        </w:rPr>
        <w:t xml:space="preserve"> газов</w:t>
      </w:r>
      <w:r w:rsidRPr="007A4A2F">
        <w:rPr>
          <w:rFonts w:cs="Times New Roman"/>
          <w:i w:val="0"/>
          <w:iCs w:val="0"/>
          <w:color w:val="353535"/>
          <w:sz w:val="24"/>
          <w:szCs w:val="24"/>
        </w:rPr>
        <w:t xml:space="preserve"> и </w:t>
      </w:r>
      <w:r w:rsidR="007A4A2F">
        <w:rPr>
          <w:rFonts w:cs="Times New Roman"/>
          <w:i w:val="0"/>
          <w:iCs w:val="0"/>
          <w:color w:val="353535"/>
          <w:sz w:val="24"/>
          <w:szCs w:val="24"/>
        </w:rPr>
        <w:t xml:space="preserve">объемной </w:t>
      </w:r>
      <w:r w:rsidRPr="007A4A2F">
        <w:rPr>
          <w:rFonts w:cs="Times New Roman"/>
          <w:i w:val="0"/>
          <w:iCs w:val="0"/>
          <w:color w:val="353535"/>
          <w:sz w:val="24"/>
          <w:szCs w:val="24"/>
        </w:rPr>
        <w:t>концентрации</w:t>
      </w:r>
      <w:r w:rsidR="007A4A2F">
        <w:rPr>
          <w:rFonts w:cs="Times New Roman"/>
          <w:i w:val="0"/>
          <w:iCs w:val="0"/>
          <w:color w:val="353535"/>
          <w:sz w:val="24"/>
          <w:szCs w:val="24"/>
        </w:rPr>
        <w:t xml:space="preserve"> водорода в водородно-воздушной смеси</w:t>
      </w:r>
    </w:p>
    <w:p w14:paraId="5843FB93" w14:textId="104ED75D" w:rsidR="00AC65FD" w:rsidRDefault="00622D86" w:rsidP="007A4A2F">
      <w:pPr>
        <w:ind w:firstLine="426"/>
        <w:jc w:val="both"/>
        <w:rPr>
          <w:rFonts w:cs="Times New Roman"/>
          <w:color w:val="353535"/>
          <w:sz w:val="24"/>
          <w:szCs w:val="24"/>
        </w:rPr>
      </w:pPr>
      <w:r>
        <w:rPr>
          <w:rFonts w:cs="Times New Roman"/>
          <w:color w:val="353535"/>
          <w:sz w:val="24"/>
          <w:szCs w:val="24"/>
        </w:rPr>
        <w:t>В работе п</w:t>
      </w:r>
      <w:r w:rsidR="00AC65FD" w:rsidRPr="00AC65FD">
        <w:rPr>
          <w:rFonts w:cs="Times New Roman"/>
          <w:color w:val="353535"/>
          <w:sz w:val="24"/>
          <w:szCs w:val="24"/>
        </w:rPr>
        <w:t xml:space="preserve">редложена схема включения двух </w:t>
      </w:r>
      <w:r w:rsidR="007A4A2F">
        <w:rPr>
          <w:rFonts w:cs="Times New Roman"/>
          <w:color w:val="353535"/>
          <w:sz w:val="24"/>
          <w:szCs w:val="24"/>
        </w:rPr>
        <w:t>термо</w:t>
      </w:r>
      <w:r w:rsidR="00AC65FD" w:rsidRPr="00AC65FD">
        <w:rPr>
          <w:rFonts w:cs="Times New Roman"/>
          <w:color w:val="353535"/>
          <w:sz w:val="24"/>
          <w:szCs w:val="24"/>
        </w:rPr>
        <w:t xml:space="preserve">кондуктометрических датчиков для одновременного измерения скорости и концентрации водорода в потоке. </w:t>
      </w:r>
      <w:r>
        <w:rPr>
          <w:rFonts w:cs="Times New Roman"/>
          <w:color w:val="353535"/>
          <w:sz w:val="24"/>
          <w:szCs w:val="24"/>
        </w:rPr>
        <w:t xml:space="preserve">Были </w:t>
      </w:r>
      <w:r w:rsidR="005D38DF">
        <w:rPr>
          <w:rFonts w:cs="Times New Roman"/>
          <w:color w:val="353535"/>
          <w:sz w:val="24"/>
          <w:szCs w:val="24"/>
        </w:rPr>
        <w:t>п</w:t>
      </w:r>
      <w:r w:rsidR="00AC65FD" w:rsidRPr="00AC65FD">
        <w:rPr>
          <w:rFonts w:cs="Times New Roman"/>
          <w:color w:val="353535"/>
          <w:sz w:val="24"/>
          <w:szCs w:val="24"/>
        </w:rPr>
        <w:t xml:space="preserve">роведены градуировочные эксперименты в диапазоне концентраций водорода от 0 до 100 </w:t>
      </w:r>
      <w:proofErr w:type="gramStart"/>
      <w:r w:rsidR="00AC65FD" w:rsidRPr="00AC65FD">
        <w:rPr>
          <w:rFonts w:cs="Times New Roman"/>
          <w:color w:val="353535"/>
          <w:sz w:val="24"/>
          <w:szCs w:val="24"/>
        </w:rPr>
        <w:t>об.%</w:t>
      </w:r>
      <w:proofErr w:type="gramEnd"/>
      <w:r w:rsidR="00AC65FD" w:rsidRPr="00AC65FD">
        <w:rPr>
          <w:rFonts w:cs="Times New Roman"/>
          <w:color w:val="353535"/>
          <w:sz w:val="24"/>
          <w:szCs w:val="24"/>
        </w:rPr>
        <w:t xml:space="preserve"> и скоростей от 0 до 1.84 м/с</w:t>
      </w:r>
      <w:r w:rsidR="005D38DF">
        <w:rPr>
          <w:rFonts w:cs="Times New Roman"/>
          <w:color w:val="353535"/>
          <w:sz w:val="24"/>
          <w:szCs w:val="24"/>
        </w:rPr>
        <w:t>, а также п</w:t>
      </w:r>
      <w:r w:rsidR="00AC65FD" w:rsidRPr="00AC65FD">
        <w:rPr>
          <w:rFonts w:cs="Times New Roman"/>
          <w:color w:val="353535"/>
          <w:sz w:val="24"/>
          <w:szCs w:val="24"/>
        </w:rPr>
        <w:t xml:space="preserve">роведены эксперименты по определению влияния давления газа от 0.1 до 6 атм (абсолютных) на величину сигнала. Построены эмпирические зависимости скорости потока и концентрации водорода при известном давлении. </w:t>
      </w:r>
      <w:r w:rsidR="005D38DF">
        <w:rPr>
          <w:rFonts w:cs="Times New Roman"/>
          <w:color w:val="353535"/>
          <w:sz w:val="24"/>
          <w:szCs w:val="24"/>
        </w:rPr>
        <w:t>В качестве результата п</w:t>
      </w:r>
      <w:r w:rsidR="00AC65FD" w:rsidRPr="00AC65FD">
        <w:rPr>
          <w:rFonts w:cs="Times New Roman"/>
          <w:color w:val="353535"/>
          <w:sz w:val="24"/>
          <w:szCs w:val="24"/>
        </w:rPr>
        <w:t>оказано, что сборки из термокондуктометрических датчиков могут быть использованы для обнаружения выбросов водорода.</w:t>
      </w:r>
    </w:p>
    <w:p w14:paraId="6B7186F9" w14:textId="64CDCF8C" w:rsidR="00A613CD" w:rsidRPr="00622D86" w:rsidRDefault="0015593D" w:rsidP="007A4A2F">
      <w:pPr>
        <w:ind w:firstLine="426"/>
        <w:jc w:val="both"/>
        <w:rPr>
          <w:rFonts w:cs="Times New Roman"/>
          <w:color w:val="353535"/>
          <w:sz w:val="24"/>
          <w:szCs w:val="24"/>
        </w:rPr>
      </w:pPr>
      <w:r>
        <w:rPr>
          <w:rFonts w:cs="Times New Roman"/>
          <w:color w:val="353535"/>
          <w:sz w:val="24"/>
          <w:szCs w:val="24"/>
        </w:rPr>
        <w:t>Работа</w:t>
      </w:r>
      <w:r w:rsidRPr="0015593D">
        <w:rPr>
          <w:rFonts w:cs="Times New Roman"/>
          <w:color w:val="353535"/>
          <w:sz w:val="24"/>
          <w:szCs w:val="24"/>
        </w:rPr>
        <w:t xml:space="preserve"> выполнен</w:t>
      </w:r>
      <w:r>
        <w:rPr>
          <w:rFonts w:cs="Times New Roman"/>
          <w:color w:val="353535"/>
          <w:sz w:val="24"/>
          <w:szCs w:val="24"/>
        </w:rPr>
        <w:t>а</w:t>
      </w:r>
      <w:r w:rsidRPr="0015593D">
        <w:rPr>
          <w:rFonts w:cs="Times New Roman"/>
          <w:color w:val="353535"/>
          <w:sz w:val="24"/>
          <w:szCs w:val="24"/>
        </w:rPr>
        <w:t xml:space="preserve"> при поддержке Российского научного фонда, грант №. 23-29-00267</w:t>
      </w:r>
      <w:r>
        <w:rPr>
          <w:rFonts w:cs="Times New Roman"/>
          <w:color w:val="353535"/>
          <w:sz w:val="24"/>
          <w:szCs w:val="24"/>
        </w:rPr>
        <w:t>.</w:t>
      </w:r>
    </w:p>
    <w:p w14:paraId="6A406997" w14:textId="0E945445" w:rsidR="00A613CD" w:rsidRPr="00A613CD" w:rsidRDefault="00A613CD" w:rsidP="007A4A2F">
      <w:pPr>
        <w:jc w:val="both"/>
        <w:rPr>
          <w:rFonts w:cs="Times New Roman"/>
          <w:color w:val="353535"/>
          <w:sz w:val="24"/>
          <w:szCs w:val="24"/>
        </w:rPr>
      </w:pPr>
      <w:r w:rsidRPr="00A613CD">
        <w:rPr>
          <w:rStyle w:val="ad"/>
          <w:rFonts w:cs="Times New Roman"/>
          <w:color w:val="353535"/>
          <w:sz w:val="24"/>
          <w:szCs w:val="24"/>
        </w:rPr>
        <w:t>Литература</w:t>
      </w:r>
    </w:p>
    <w:p w14:paraId="4983D40E" w14:textId="77777777" w:rsidR="0015593D" w:rsidRPr="007A4A2F" w:rsidRDefault="0015593D" w:rsidP="007A4A2F">
      <w:pPr>
        <w:pStyle w:val="a7"/>
        <w:numPr>
          <w:ilvl w:val="0"/>
          <w:numId w:val="3"/>
        </w:numPr>
        <w:jc w:val="both"/>
        <w:rPr>
          <w:rFonts w:cs="Times New Roman"/>
          <w:color w:val="353535"/>
          <w:sz w:val="24"/>
          <w:szCs w:val="24"/>
          <w:lang w:val="en-US"/>
        </w:rPr>
      </w:pPr>
      <w:bookmarkStart w:id="0" w:name="_Ref160018594"/>
      <w:r w:rsidRPr="007A4A2F">
        <w:rPr>
          <w:rFonts w:cs="Times New Roman"/>
          <w:color w:val="353535"/>
          <w:sz w:val="24"/>
          <w:szCs w:val="24"/>
          <w:lang w:val="en-US"/>
        </w:rPr>
        <w:t>Occelli C., Fiorido T., Perrin-Pellegrino C., Seguin J.-L. Sensors for anaerobic hydrogen measurement: A comparative study between a resistive PdAu based sensor and a commercial thermal conductivity sensor // International Journal of Hydrogen Energy. – 2023. – Vol. 46. – P. 17729–17741.</w:t>
      </w:r>
      <w:bookmarkEnd w:id="0"/>
    </w:p>
    <w:p w14:paraId="616B0396" w14:textId="77777777" w:rsidR="0015593D" w:rsidRPr="007A4A2F" w:rsidRDefault="0015593D" w:rsidP="007A4A2F">
      <w:pPr>
        <w:pStyle w:val="a7"/>
        <w:numPr>
          <w:ilvl w:val="0"/>
          <w:numId w:val="3"/>
        </w:numPr>
        <w:jc w:val="both"/>
        <w:rPr>
          <w:rFonts w:cs="Times New Roman"/>
          <w:color w:val="353535"/>
          <w:sz w:val="24"/>
          <w:szCs w:val="24"/>
          <w:lang w:val="en-US"/>
        </w:rPr>
      </w:pPr>
      <w:bookmarkStart w:id="1" w:name="_Ref160019350"/>
      <w:r w:rsidRPr="007A4A2F">
        <w:rPr>
          <w:rFonts w:cs="Times New Roman"/>
          <w:color w:val="353535"/>
          <w:sz w:val="24"/>
          <w:szCs w:val="24"/>
          <w:lang w:val="en-US"/>
        </w:rPr>
        <w:t>Tasyurek L.B., Isik E., Isik I., Kilinc N. Enhancing the performance of TiO2 nanotube-based hydrogen sensors through crystal structure and metal electrode // International Journal of Hydrogen Energy. – 2024. – Vol. 54. – P. 678–690.</w:t>
      </w:r>
      <w:bookmarkEnd w:id="1"/>
    </w:p>
    <w:p w14:paraId="61757DE9" w14:textId="77777777" w:rsidR="0015593D" w:rsidRPr="007A4A2F" w:rsidRDefault="0015593D" w:rsidP="007A4A2F">
      <w:pPr>
        <w:pStyle w:val="a7"/>
        <w:numPr>
          <w:ilvl w:val="0"/>
          <w:numId w:val="3"/>
        </w:numPr>
        <w:jc w:val="both"/>
        <w:rPr>
          <w:rFonts w:cs="Times New Roman"/>
          <w:color w:val="353535"/>
          <w:sz w:val="24"/>
          <w:szCs w:val="24"/>
          <w:lang w:val="en-US"/>
        </w:rPr>
      </w:pPr>
      <w:bookmarkStart w:id="2" w:name="_Ref148630602"/>
      <w:r w:rsidRPr="007A4A2F">
        <w:rPr>
          <w:rFonts w:cs="Times New Roman"/>
          <w:color w:val="353535"/>
          <w:sz w:val="24"/>
          <w:szCs w:val="24"/>
          <w:lang w:val="en-US"/>
        </w:rPr>
        <w:t>Vasiliev A., Shakhnovich I., Samotaev N., et al. Intellectual thermoconductometric unit based on aerosol printed ceramic MEMS sensor for the measurement of natural gas composition // Proceedings. – 2018. – Vol. 2. – P. 736.</w:t>
      </w:r>
      <w:bookmarkEnd w:id="2"/>
    </w:p>
    <w:p w14:paraId="37DC098D" w14:textId="1964BD62" w:rsidR="00F12C76" w:rsidRPr="007A4A2F" w:rsidRDefault="0015593D" w:rsidP="007A4A2F">
      <w:pPr>
        <w:pStyle w:val="a7"/>
        <w:numPr>
          <w:ilvl w:val="0"/>
          <w:numId w:val="3"/>
        </w:numPr>
        <w:jc w:val="both"/>
        <w:rPr>
          <w:rFonts w:cs="Times New Roman"/>
          <w:color w:val="353535"/>
          <w:sz w:val="24"/>
          <w:szCs w:val="24"/>
          <w:lang w:val="en-US"/>
        </w:rPr>
      </w:pPr>
      <w:bookmarkStart w:id="3" w:name="_Ref160026187"/>
      <w:r w:rsidRPr="007A4A2F">
        <w:rPr>
          <w:rFonts w:cs="Times New Roman"/>
          <w:color w:val="353535"/>
          <w:sz w:val="24"/>
          <w:szCs w:val="24"/>
          <w:lang w:val="en-US"/>
        </w:rPr>
        <w:t>Sangchap M., Hashtroudi H., Thathsara T., et al. Exploring the promise of one-dimensional nanostructures: A review of hydrogen gas sensors // International Journal of Hydrogen Energy. – 2024. – Vol. 50 A.– P. 1443–1457.</w:t>
      </w:r>
      <w:bookmarkEnd w:id="3"/>
    </w:p>
    <w:sectPr w:rsidR="00F12C76" w:rsidRPr="007A4A2F" w:rsidSect="00AA5695">
      <w:pgSz w:w="11906" w:h="16838" w:code="9"/>
      <w:pgMar w:top="1134" w:right="1304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1153"/>
    <w:multiLevelType w:val="multilevel"/>
    <w:tmpl w:val="A3B6F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3623F"/>
    <w:multiLevelType w:val="hybridMultilevel"/>
    <w:tmpl w:val="79ECC4A6"/>
    <w:lvl w:ilvl="0" w:tplc="B7E08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BA4196"/>
    <w:multiLevelType w:val="hybridMultilevel"/>
    <w:tmpl w:val="BB1A8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691662">
    <w:abstractNumId w:val="0"/>
  </w:num>
  <w:num w:numId="2" w16cid:durableId="617681093">
    <w:abstractNumId w:val="1"/>
  </w:num>
  <w:num w:numId="3" w16cid:durableId="360087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5B"/>
    <w:rsid w:val="0015593D"/>
    <w:rsid w:val="002925F6"/>
    <w:rsid w:val="0056559B"/>
    <w:rsid w:val="005D38DF"/>
    <w:rsid w:val="005E418A"/>
    <w:rsid w:val="00622D86"/>
    <w:rsid w:val="0067085B"/>
    <w:rsid w:val="006C0B77"/>
    <w:rsid w:val="006D75AD"/>
    <w:rsid w:val="007A4A2F"/>
    <w:rsid w:val="008242FF"/>
    <w:rsid w:val="0087021F"/>
    <w:rsid w:val="00870751"/>
    <w:rsid w:val="00922C48"/>
    <w:rsid w:val="009B4050"/>
    <w:rsid w:val="00A613CD"/>
    <w:rsid w:val="00AA5695"/>
    <w:rsid w:val="00AC65FD"/>
    <w:rsid w:val="00AC70E7"/>
    <w:rsid w:val="00AE6DC3"/>
    <w:rsid w:val="00B915B7"/>
    <w:rsid w:val="00DB5455"/>
    <w:rsid w:val="00EA59DF"/>
    <w:rsid w:val="00EE4070"/>
    <w:rsid w:val="00EF2E57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506EC1"/>
  <w15:chartTrackingRefBased/>
  <w15:docId w15:val="{5156108B-403D-411C-995C-85223782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3CD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708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8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8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8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85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85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85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85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85B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67085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67085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67085B"/>
    <w:rPr>
      <w:rFonts w:eastAsiaTheme="majorEastAsia" w:cstheme="majorBidi"/>
      <w:i/>
      <w:iCs/>
      <w:color w:val="0F4761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67085B"/>
    <w:rPr>
      <w:rFonts w:eastAsiaTheme="majorEastAsia" w:cstheme="majorBidi"/>
      <w:color w:val="0F4761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67085B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67085B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67085B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67085B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708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085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7085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085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670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085B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6708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085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08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085B"/>
    <w:rPr>
      <w:rFonts w:ascii="Times New Roman" w:hAnsi="Times New Roman"/>
      <w:i/>
      <w:iCs/>
      <w:color w:val="0F4761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67085B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A613C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613CD"/>
    <w:rPr>
      <w:b/>
      <w:bCs/>
    </w:rPr>
  </w:style>
  <w:style w:type="character" w:styleId="ae">
    <w:name w:val="Emphasis"/>
    <w:basedOn w:val="a0"/>
    <w:uiPriority w:val="20"/>
    <w:qFormat/>
    <w:rsid w:val="00A613CD"/>
    <w:rPr>
      <w:i/>
      <w:iCs/>
    </w:rPr>
  </w:style>
  <w:style w:type="paragraph" w:customStyle="1" w:styleId="af">
    <w:name w:val="Структурный элемент"/>
    <w:basedOn w:val="1"/>
    <w:next w:val="a"/>
    <w:qFormat/>
    <w:rsid w:val="00A613CD"/>
    <w:pPr>
      <w:pageBreakBefore/>
      <w:widowControl w:val="0"/>
      <w:spacing w:before="120" w:after="120"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32"/>
    </w:rPr>
  </w:style>
  <w:style w:type="paragraph" w:styleId="af0">
    <w:name w:val="caption"/>
    <w:basedOn w:val="a"/>
    <w:next w:val="a"/>
    <w:uiPriority w:val="35"/>
    <w:unhideWhenUsed/>
    <w:qFormat/>
    <w:rsid w:val="0015593D"/>
    <w:pPr>
      <w:spacing w:after="200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Elyanov</dc:creator>
  <cp:keywords/>
  <dc:description/>
  <cp:lastModifiedBy>Artem Elyanov</cp:lastModifiedBy>
  <cp:revision>5</cp:revision>
  <dcterms:created xsi:type="dcterms:W3CDTF">2024-02-29T10:52:00Z</dcterms:created>
  <dcterms:modified xsi:type="dcterms:W3CDTF">2024-02-29T15:39:00Z</dcterms:modified>
</cp:coreProperties>
</file>