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C7FD1" w14:textId="4CDF5CEB" w:rsidR="00FB7CB7" w:rsidRPr="00EE4EA0" w:rsidRDefault="0020554D" w:rsidP="00EE4EA0">
      <w:pPr>
        <w:spacing w:line="240" w:lineRule="auto"/>
        <w:jc w:val="center"/>
        <w:rPr>
          <w:rFonts w:ascii="Times New Roman" w:eastAsia="Times New Roman" w:hAnsi="Times New Roman" w:cs="Times New Roman"/>
          <w:b/>
          <w:lang w:val="en-US"/>
        </w:rPr>
      </w:pPr>
      <w:r w:rsidRPr="0020554D">
        <w:rPr>
          <w:rFonts w:ascii="Times New Roman" w:eastAsia="Times New Roman" w:hAnsi="Times New Roman" w:cs="Times New Roman"/>
          <w:b/>
          <w:sz w:val="24"/>
          <w:szCs w:val="24"/>
          <w:lang w:val="en-US"/>
        </w:rPr>
        <w:t>VVER-1200 R</w:t>
      </w:r>
      <w:r w:rsidR="00761280">
        <w:rPr>
          <w:rFonts w:ascii="Times New Roman" w:eastAsia="Times New Roman" w:hAnsi="Times New Roman" w:cs="Times New Roman"/>
          <w:b/>
          <w:sz w:val="24"/>
          <w:szCs w:val="24"/>
          <w:lang w:val="en-US"/>
        </w:rPr>
        <w:t>eactor</w:t>
      </w:r>
      <w:r w:rsidRPr="0020554D">
        <w:rPr>
          <w:rFonts w:ascii="Times New Roman" w:eastAsia="Times New Roman" w:hAnsi="Times New Roman" w:cs="Times New Roman"/>
          <w:b/>
          <w:sz w:val="24"/>
          <w:szCs w:val="24"/>
          <w:lang w:val="en-US"/>
        </w:rPr>
        <w:t xml:space="preserve"> C</w:t>
      </w:r>
      <w:r w:rsidR="00761280">
        <w:rPr>
          <w:rFonts w:ascii="Times New Roman" w:eastAsia="Times New Roman" w:hAnsi="Times New Roman" w:cs="Times New Roman"/>
          <w:b/>
          <w:sz w:val="24"/>
          <w:szCs w:val="24"/>
          <w:lang w:val="en-US"/>
        </w:rPr>
        <w:t>ore</w:t>
      </w:r>
      <w:r w:rsidRPr="0020554D">
        <w:rPr>
          <w:rFonts w:ascii="Times New Roman" w:eastAsia="Times New Roman" w:hAnsi="Times New Roman" w:cs="Times New Roman"/>
          <w:b/>
          <w:sz w:val="24"/>
          <w:szCs w:val="24"/>
          <w:lang w:val="en-US"/>
        </w:rPr>
        <w:t xml:space="preserve"> P</w:t>
      </w:r>
      <w:r w:rsidR="00761280">
        <w:rPr>
          <w:rFonts w:ascii="Times New Roman" w:eastAsia="Times New Roman" w:hAnsi="Times New Roman" w:cs="Times New Roman"/>
          <w:b/>
          <w:sz w:val="24"/>
          <w:szCs w:val="24"/>
          <w:lang w:val="en-US"/>
        </w:rPr>
        <w:t>in</w:t>
      </w:r>
      <w:r w:rsidRPr="0020554D">
        <w:rPr>
          <w:rFonts w:ascii="Times New Roman" w:eastAsia="Times New Roman" w:hAnsi="Times New Roman" w:cs="Times New Roman"/>
          <w:b/>
          <w:sz w:val="24"/>
          <w:szCs w:val="24"/>
          <w:lang w:val="en-US"/>
        </w:rPr>
        <w:t xml:space="preserve"> C</w:t>
      </w:r>
      <w:r w:rsidR="00761280">
        <w:rPr>
          <w:rFonts w:ascii="Times New Roman" w:eastAsia="Times New Roman" w:hAnsi="Times New Roman" w:cs="Times New Roman"/>
          <w:b/>
          <w:sz w:val="24"/>
          <w:szCs w:val="24"/>
          <w:lang w:val="en-US"/>
        </w:rPr>
        <w:t>ell</w:t>
      </w:r>
      <w:r w:rsidRPr="0020554D">
        <w:rPr>
          <w:rFonts w:ascii="Times New Roman" w:eastAsia="Times New Roman" w:hAnsi="Times New Roman" w:cs="Times New Roman"/>
          <w:b/>
          <w:sz w:val="24"/>
          <w:szCs w:val="24"/>
          <w:lang w:val="en-US"/>
        </w:rPr>
        <w:t xml:space="preserve"> S</w:t>
      </w:r>
      <w:r w:rsidR="00761280">
        <w:rPr>
          <w:rFonts w:ascii="Times New Roman" w:eastAsia="Times New Roman" w:hAnsi="Times New Roman" w:cs="Times New Roman"/>
          <w:b/>
          <w:sz w:val="24"/>
          <w:szCs w:val="24"/>
          <w:lang w:val="en-US"/>
        </w:rPr>
        <w:t>teady</w:t>
      </w:r>
      <w:r w:rsidRPr="0020554D">
        <w:rPr>
          <w:rFonts w:ascii="Times New Roman" w:eastAsia="Times New Roman" w:hAnsi="Times New Roman" w:cs="Times New Roman"/>
          <w:b/>
          <w:sz w:val="24"/>
          <w:szCs w:val="24"/>
          <w:lang w:val="en-US"/>
        </w:rPr>
        <w:t>-</w:t>
      </w:r>
      <w:r w:rsidR="00761280">
        <w:rPr>
          <w:rFonts w:ascii="Times New Roman" w:eastAsia="Times New Roman" w:hAnsi="Times New Roman" w:cs="Times New Roman"/>
          <w:b/>
          <w:sz w:val="24"/>
          <w:szCs w:val="24"/>
          <w:lang w:val="en-US"/>
        </w:rPr>
        <w:t>State</w:t>
      </w:r>
      <w:r w:rsidRPr="0020554D">
        <w:rPr>
          <w:rFonts w:ascii="Times New Roman" w:eastAsia="Times New Roman" w:hAnsi="Times New Roman" w:cs="Times New Roman"/>
          <w:b/>
          <w:sz w:val="24"/>
          <w:szCs w:val="24"/>
          <w:lang w:val="en-US"/>
        </w:rPr>
        <w:t xml:space="preserve"> T</w:t>
      </w:r>
      <w:r w:rsidR="00761280">
        <w:rPr>
          <w:rFonts w:ascii="Times New Roman" w:eastAsia="Times New Roman" w:hAnsi="Times New Roman" w:cs="Times New Roman"/>
          <w:b/>
          <w:sz w:val="24"/>
          <w:szCs w:val="24"/>
          <w:lang w:val="en-US"/>
        </w:rPr>
        <w:t>hermal</w:t>
      </w:r>
      <w:r w:rsidRPr="0020554D">
        <w:rPr>
          <w:rFonts w:ascii="Times New Roman" w:eastAsia="Times New Roman" w:hAnsi="Times New Roman" w:cs="Times New Roman"/>
          <w:b/>
          <w:sz w:val="24"/>
          <w:szCs w:val="24"/>
          <w:lang w:val="en-US"/>
        </w:rPr>
        <w:t xml:space="preserve"> H</w:t>
      </w:r>
      <w:r w:rsidR="00761280">
        <w:rPr>
          <w:rFonts w:ascii="Times New Roman" w:eastAsia="Times New Roman" w:hAnsi="Times New Roman" w:cs="Times New Roman"/>
          <w:b/>
          <w:sz w:val="24"/>
          <w:szCs w:val="24"/>
          <w:lang w:val="en-US"/>
        </w:rPr>
        <w:t>ydraulics</w:t>
      </w:r>
      <w:r w:rsidRPr="0020554D">
        <w:rPr>
          <w:rFonts w:ascii="Times New Roman" w:eastAsia="Times New Roman" w:hAnsi="Times New Roman" w:cs="Times New Roman"/>
          <w:b/>
          <w:sz w:val="24"/>
          <w:szCs w:val="24"/>
          <w:lang w:val="en-US"/>
        </w:rPr>
        <w:t xml:space="preserve"> A</w:t>
      </w:r>
      <w:r w:rsidR="00761280">
        <w:rPr>
          <w:rFonts w:ascii="Times New Roman" w:eastAsia="Times New Roman" w:hAnsi="Times New Roman" w:cs="Times New Roman"/>
          <w:b/>
          <w:sz w:val="24"/>
          <w:szCs w:val="24"/>
          <w:lang w:val="en-US"/>
        </w:rPr>
        <w:t>nalyses</w:t>
      </w:r>
      <w:r w:rsidRPr="0020554D">
        <w:rPr>
          <w:rFonts w:ascii="Times New Roman" w:eastAsia="Times New Roman" w:hAnsi="Times New Roman" w:cs="Times New Roman"/>
          <w:b/>
          <w:sz w:val="24"/>
          <w:szCs w:val="24"/>
          <w:lang w:val="en-US"/>
        </w:rPr>
        <w:t xml:space="preserve"> </w:t>
      </w:r>
      <w:r w:rsidR="00761280">
        <w:rPr>
          <w:rFonts w:ascii="Times New Roman" w:eastAsia="Times New Roman" w:hAnsi="Times New Roman" w:cs="Times New Roman"/>
          <w:b/>
          <w:sz w:val="24"/>
          <w:szCs w:val="24"/>
          <w:lang w:val="en-US"/>
        </w:rPr>
        <w:t>and</w:t>
      </w:r>
      <w:r w:rsidRPr="0020554D">
        <w:rPr>
          <w:rFonts w:ascii="Times New Roman" w:eastAsia="Times New Roman" w:hAnsi="Times New Roman" w:cs="Times New Roman"/>
          <w:b/>
          <w:sz w:val="24"/>
          <w:szCs w:val="24"/>
          <w:lang w:val="en-US"/>
        </w:rPr>
        <w:t xml:space="preserve"> C</w:t>
      </w:r>
      <w:r w:rsidR="00761280">
        <w:rPr>
          <w:rFonts w:ascii="Times New Roman" w:eastAsia="Times New Roman" w:hAnsi="Times New Roman" w:cs="Times New Roman"/>
          <w:b/>
          <w:sz w:val="24"/>
          <w:szCs w:val="24"/>
          <w:lang w:val="en-US"/>
        </w:rPr>
        <w:t>ross</w:t>
      </w:r>
      <w:r w:rsidRPr="0020554D">
        <w:rPr>
          <w:rFonts w:ascii="Times New Roman" w:eastAsia="Times New Roman" w:hAnsi="Times New Roman" w:cs="Times New Roman"/>
          <w:b/>
          <w:sz w:val="24"/>
          <w:szCs w:val="24"/>
          <w:lang w:val="en-US"/>
        </w:rPr>
        <w:t>-</w:t>
      </w:r>
      <w:r w:rsidR="00761280">
        <w:rPr>
          <w:rFonts w:ascii="Times New Roman" w:eastAsia="Times New Roman" w:hAnsi="Times New Roman" w:cs="Times New Roman"/>
          <w:b/>
          <w:sz w:val="24"/>
          <w:szCs w:val="24"/>
          <w:lang w:val="en-US"/>
        </w:rPr>
        <w:t>Validation</w:t>
      </w:r>
      <w:r w:rsidRPr="0020554D">
        <w:rPr>
          <w:rFonts w:ascii="Times New Roman" w:eastAsia="Times New Roman" w:hAnsi="Times New Roman" w:cs="Times New Roman"/>
          <w:b/>
          <w:sz w:val="24"/>
          <w:szCs w:val="24"/>
          <w:lang w:val="en-US"/>
        </w:rPr>
        <w:t xml:space="preserve"> </w:t>
      </w:r>
    </w:p>
    <w:p w14:paraId="62F223B3" w14:textId="42752161" w:rsidR="00FB7CB7" w:rsidRPr="0020554D" w:rsidRDefault="0020554D" w:rsidP="00EE4EA0">
      <w:pPr>
        <w:spacing w:line="240" w:lineRule="auto"/>
        <w:jc w:val="center"/>
        <w:rPr>
          <w:rFonts w:ascii="Times New Roman" w:hAnsi="Times New Roman" w:cs="Times New Roman"/>
          <w:b/>
          <w:bCs/>
          <w:sz w:val="24"/>
          <w:szCs w:val="24"/>
          <w:lang w:val="en-US"/>
        </w:rPr>
      </w:pPr>
      <w:r w:rsidRPr="0020554D">
        <w:rPr>
          <w:rFonts w:ascii="Times New Roman" w:eastAsia="Times New Roman" w:hAnsi="Times New Roman" w:cs="Times New Roman"/>
          <w:b/>
          <w:bCs/>
          <w:i/>
          <w:sz w:val="24"/>
          <w:szCs w:val="24"/>
          <w:lang w:val="en-US"/>
        </w:rPr>
        <w:t>Siro R</w:t>
      </w:r>
      <w:r w:rsidR="00542F55">
        <w:rPr>
          <w:rFonts w:ascii="Times New Roman" w:eastAsia="Times New Roman" w:hAnsi="Times New Roman" w:cs="Times New Roman"/>
          <w:b/>
          <w:bCs/>
          <w:i/>
          <w:sz w:val="24"/>
          <w:szCs w:val="24"/>
          <w:lang w:val="en-US"/>
        </w:rPr>
        <w:t>.</w:t>
      </w:r>
      <w:r w:rsidRPr="0020554D">
        <w:rPr>
          <w:rFonts w:ascii="Times New Roman" w:eastAsia="Times New Roman" w:hAnsi="Times New Roman" w:cs="Times New Roman"/>
          <w:b/>
          <w:bCs/>
          <w:i/>
          <w:sz w:val="24"/>
          <w:szCs w:val="24"/>
          <w:lang w:val="en-US"/>
        </w:rPr>
        <w:t>F</w:t>
      </w:r>
      <w:r w:rsidR="00542F55">
        <w:rPr>
          <w:rFonts w:ascii="Times New Roman" w:eastAsia="Times New Roman" w:hAnsi="Times New Roman" w:cs="Times New Roman"/>
          <w:b/>
          <w:bCs/>
          <w:i/>
          <w:sz w:val="24"/>
          <w:szCs w:val="24"/>
          <w:lang w:val="en-US"/>
        </w:rPr>
        <w:t>.</w:t>
      </w:r>
    </w:p>
    <w:p w14:paraId="6DCEE4E9" w14:textId="64238CAC" w:rsidR="00FB7CB7" w:rsidRPr="00EE4EA0" w:rsidRDefault="0020554D" w:rsidP="00EE4EA0">
      <w:pPr>
        <w:spacing w:line="240" w:lineRule="auto"/>
        <w:jc w:val="center"/>
        <w:rPr>
          <w:rFonts w:ascii="Times New Roman" w:eastAsia="Times New Roman" w:hAnsi="Times New Roman" w:cs="Times New Roman"/>
          <w:i/>
          <w:lang w:val="en-US"/>
        </w:rPr>
      </w:pPr>
      <w:r w:rsidRPr="0020554D">
        <w:rPr>
          <w:rFonts w:ascii="Times New Roman" w:eastAsia="Times New Roman" w:hAnsi="Times New Roman" w:cs="Times New Roman"/>
          <w:i/>
          <w:sz w:val="24"/>
          <w:szCs w:val="24"/>
          <w:lang w:val="en-US"/>
        </w:rPr>
        <w:t xml:space="preserve">Student, </w:t>
      </w:r>
      <w:r w:rsidR="00D21BF5">
        <w:rPr>
          <w:rFonts w:ascii="Times New Roman" w:eastAsia="Times New Roman" w:hAnsi="Times New Roman" w:cs="Times New Roman"/>
          <w:i/>
          <w:sz w:val="24"/>
          <w:szCs w:val="24"/>
          <w:lang w:val="en-US"/>
        </w:rPr>
        <w:t xml:space="preserve">Bachelor’s </w:t>
      </w:r>
      <w:r w:rsidR="004C697D">
        <w:rPr>
          <w:rFonts w:ascii="Times New Roman" w:eastAsia="Times New Roman" w:hAnsi="Times New Roman" w:cs="Times New Roman"/>
          <w:i/>
          <w:sz w:val="24"/>
          <w:szCs w:val="24"/>
          <w:lang w:val="en-US"/>
        </w:rPr>
        <w:t>Degree (</w:t>
      </w:r>
      <w:r w:rsidRPr="0020554D">
        <w:rPr>
          <w:rFonts w:ascii="Times New Roman" w:eastAsia="Times New Roman" w:hAnsi="Times New Roman" w:cs="Times New Roman"/>
          <w:i/>
          <w:sz w:val="24"/>
          <w:szCs w:val="24"/>
          <w:lang w:val="en-US"/>
        </w:rPr>
        <w:t>Nuclear Engineering and Thermal Physics</w:t>
      </w:r>
      <w:r w:rsidR="00D21BF5">
        <w:rPr>
          <w:rFonts w:ascii="Times New Roman" w:eastAsia="Times New Roman" w:hAnsi="Times New Roman" w:cs="Times New Roman"/>
          <w:i/>
          <w:sz w:val="24"/>
          <w:szCs w:val="24"/>
          <w:lang w:val="en-US"/>
        </w:rPr>
        <w:t>)</w:t>
      </w:r>
      <w:r w:rsidRPr="0020554D">
        <w:rPr>
          <w:rFonts w:ascii="Times New Roman" w:eastAsia="Times New Roman" w:hAnsi="Times New Roman" w:cs="Times New Roman"/>
          <w:i/>
          <w:sz w:val="24"/>
          <w:szCs w:val="24"/>
          <w:lang w:val="en-US"/>
        </w:rPr>
        <w:t xml:space="preserve"> </w:t>
      </w:r>
    </w:p>
    <w:p w14:paraId="2A21DC10" w14:textId="2B2AC0E7" w:rsidR="00FB7CB7" w:rsidRPr="0020554D" w:rsidRDefault="0020554D" w:rsidP="00EE4EA0">
      <w:pPr>
        <w:spacing w:line="240" w:lineRule="auto"/>
        <w:jc w:val="center"/>
        <w:rPr>
          <w:rFonts w:ascii="Times New Roman" w:hAnsi="Times New Roman" w:cs="Times New Roman"/>
          <w:sz w:val="24"/>
          <w:szCs w:val="24"/>
          <w:lang w:val="en-US"/>
        </w:rPr>
      </w:pPr>
      <w:r w:rsidRPr="0020554D">
        <w:rPr>
          <w:rFonts w:ascii="Times New Roman" w:eastAsia="Times New Roman" w:hAnsi="Times New Roman" w:cs="Times New Roman"/>
          <w:i/>
          <w:sz w:val="24"/>
          <w:szCs w:val="24"/>
          <w:lang w:val="en-US"/>
        </w:rPr>
        <w:t xml:space="preserve">National Research Nuclear University (IATE NRNU MEPhI), </w:t>
      </w:r>
      <w:r w:rsidR="0057227C">
        <w:rPr>
          <w:rFonts w:ascii="Times New Roman" w:eastAsia="Times New Roman" w:hAnsi="Times New Roman" w:cs="Times New Roman"/>
          <w:i/>
          <w:sz w:val="24"/>
          <w:szCs w:val="24"/>
          <w:lang w:val="en-US"/>
        </w:rPr>
        <w:t>Department</w:t>
      </w:r>
      <w:r w:rsidRPr="0020554D">
        <w:rPr>
          <w:rFonts w:ascii="Times New Roman" w:eastAsia="Times New Roman" w:hAnsi="Times New Roman" w:cs="Times New Roman"/>
          <w:i/>
          <w:sz w:val="24"/>
          <w:szCs w:val="24"/>
          <w:lang w:val="en-US"/>
        </w:rPr>
        <w:t xml:space="preserve"> of Nuclear Physics and Engineering, Obninsk, Russia </w:t>
      </w:r>
    </w:p>
    <w:p w14:paraId="700421AF" w14:textId="339F2AAB" w:rsidR="00FB7CB7" w:rsidRPr="0020554D" w:rsidRDefault="0020554D">
      <w:pPr>
        <w:spacing w:line="240" w:lineRule="auto"/>
        <w:jc w:val="center"/>
        <w:rPr>
          <w:rFonts w:ascii="Times New Roman" w:eastAsia="Times New Roman" w:hAnsi="Times New Roman" w:cs="Times New Roman"/>
          <w:i/>
          <w:lang w:val="en-US"/>
        </w:rPr>
      </w:pPr>
      <w:r w:rsidRPr="0020554D">
        <w:rPr>
          <w:rFonts w:ascii="Times New Roman" w:eastAsia="Times New Roman" w:hAnsi="Times New Roman" w:cs="Times New Roman"/>
          <w:i/>
          <w:sz w:val="24"/>
          <w:szCs w:val="24"/>
          <w:lang w:val="en-US"/>
        </w:rPr>
        <w:t>E</w:t>
      </w:r>
      <w:r w:rsidR="002B4AA4">
        <w:rPr>
          <w:rFonts w:ascii="Times New Roman" w:eastAsia="Times New Roman" w:hAnsi="Times New Roman" w:cs="Times New Roman"/>
          <w:i/>
          <w:sz w:val="24"/>
          <w:szCs w:val="24"/>
          <w:lang w:val="en-US"/>
        </w:rPr>
        <w:t>-</w:t>
      </w:r>
      <w:r w:rsidRPr="0020554D">
        <w:rPr>
          <w:rFonts w:ascii="Times New Roman" w:eastAsia="Times New Roman" w:hAnsi="Times New Roman" w:cs="Times New Roman"/>
          <w:i/>
          <w:sz w:val="24"/>
          <w:szCs w:val="24"/>
          <w:lang w:val="en-US"/>
        </w:rPr>
        <w:t>mail: folkenbergsr20@oiate.ru</w:t>
      </w:r>
    </w:p>
    <w:p w14:paraId="698D288A" w14:textId="77777777" w:rsidR="00FB7CB7" w:rsidRPr="0020554D" w:rsidRDefault="0020554D">
      <w:pPr>
        <w:spacing w:line="240" w:lineRule="auto"/>
        <w:jc w:val="both"/>
        <w:rPr>
          <w:rFonts w:ascii="Times New Roman" w:hAnsi="Times New Roman" w:cs="Times New Roman"/>
          <w:sz w:val="24"/>
          <w:szCs w:val="24"/>
          <w:lang w:val="en-US"/>
        </w:rPr>
      </w:pPr>
      <w:r w:rsidRPr="0020554D">
        <w:rPr>
          <w:rFonts w:ascii="Times New Roman" w:eastAsia="Times New Roman" w:hAnsi="Times New Roman" w:cs="Times New Roman"/>
          <w:sz w:val="24"/>
          <w:szCs w:val="24"/>
          <w:vertAlign w:val="superscript"/>
          <w:lang w:val="en-US"/>
        </w:rPr>
        <w:t xml:space="preserve"> </w:t>
      </w:r>
      <w:r w:rsidRPr="0020554D">
        <w:rPr>
          <w:rFonts w:ascii="Times New Roman" w:eastAsia="Times New Roman" w:hAnsi="Times New Roman" w:cs="Times New Roman"/>
          <w:color w:val="000000"/>
          <w:sz w:val="24"/>
          <w:szCs w:val="24"/>
          <w:lang w:val="en-US"/>
        </w:rPr>
        <w:t xml:space="preserve"> </w:t>
      </w:r>
    </w:p>
    <w:p w14:paraId="67591A9C" w14:textId="685C67B6" w:rsidR="00FB7CB7" w:rsidRPr="0020554D" w:rsidRDefault="0020554D" w:rsidP="002B3D20">
      <w:pPr>
        <w:spacing w:line="240" w:lineRule="auto"/>
        <w:ind w:firstLine="397"/>
        <w:jc w:val="both"/>
        <w:rPr>
          <w:rFonts w:ascii="Times New Roman" w:hAnsi="Times New Roman" w:cs="Times New Roman"/>
          <w:sz w:val="24"/>
          <w:szCs w:val="24"/>
          <w:lang w:val="en-US"/>
        </w:rPr>
      </w:pPr>
      <w:r w:rsidRPr="0020554D">
        <w:rPr>
          <w:rFonts w:ascii="Times New Roman" w:eastAsia="Times New Roman" w:hAnsi="Times New Roman" w:cs="Times New Roman"/>
          <w:color w:val="000000"/>
          <w:sz w:val="24"/>
          <w:szCs w:val="24"/>
          <w:lang w:val="en-US"/>
        </w:rPr>
        <w:t>Reactor core components are designed with materials capable of facilitating heat transfer while withstanding</w:t>
      </w:r>
      <w:r w:rsidR="00D342B1">
        <w:rPr>
          <w:rFonts w:ascii="Times New Roman" w:eastAsia="Times New Roman" w:hAnsi="Times New Roman" w:cs="Times New Roman"/>
          <w:color w:val="000000"/>
          <w:sz w:val="24"/>
          <w:szCs w:val="24"/>
          <w:lang w:val="en-US"/>
        </w:rPr>
        <w:t xml:space="preserve"> very</w:t>
      </w:r>
      <w:r w:rsidRPr="0020554D">
        <w:rPr>
          <w:rFonts w:ascii="Times New Roman" w:eastAsia="Times New Roman" w:hAnsi="Times New Roman" w:cs="Times New Roman"/>
          <w:color w:val="000000"/>
          <w:sz w:val="24"/>
          <w:szCs w:val="24"/>
          <w:lang w:val="en-US"/>
        </w:rPr>
        <w:t xml:space="preserve"> high thermal stresses. The purpose of this research work is to verify by cross-validation, the thermal hydraulic processes associated with different material layers that constitute the VVER-1200 reactor core pin cell. This is to ascertain the reactor coolant performance and the safety of the VVER-1200 by analyzing the heat transfer on fuel elements along the radial axis during steady-state conditions, taking into account the computed thermophysical properties, some of which are indicated in figure 2. The reactor core pin cell material layers under investigation include the central hole, fuel, gas gap, cladding and the coolant as shown in figure 1 below.</w:t>
      </w:r>
    </w:p>
    <w:p w14:paraId="2E62A8DA" w14:textId="6AC6881D" w:rsidR="00FB7CB7" w:rsidRPr="0020554D" w:rsidRDefault="0020554D" w:rsidP="004B0856">
      <w:pPr>
        <w:spacing w:line="240" w:lineRule="auto"/>
        <w:jc w:val="center"/>
        <w:rPr>
          <w:rFonts w:ascii="Times New Roman" w:eastAsia="Times New Roman" w:hAnsi="Times New Roman" w:cs="Times New Roman"/>
          <w:color w:val="000000"/>
          <w:lang w:val="en-US"/>
        </w:rPr>
      </w:pPr>
      <w:r w:rsidRPr="0020554D">
        <w:rPr>
          <w:rFonts w:ascii="Times New Roman" w:eastAsia="Times New Roman" w:hAnsi="Times New Roman" w:cs="Times New Roman"/>
          <w:noProof/>
          <w:color w:val="000000"/>
        </w:rPr>
        <w:drawing>
          <wp:anchor distT="0" distB="0" distL="0" distR="0" simplePos="0" relativeHeight="2" behindDoc="0" locked="0" layoutInCell="0" allowOverlap="1" wp14:anchorId="2863AB3F" wp14:editId="12AD65D5">
            <wp:simplePos x="0" y="0"/>
            <wp:positionH relativeFrom="column">
              <wp:align>center</wp:align>
            </wp:positionH>
            <wp:positionV relativeFrom="paragraph">
              <wp:posOffset>143510</wp:posOffset>
            </wp:positionV>
            <wp:extent cx="5845175" cy="185610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rcRect l="2986" t="7030" r="1185" b="5881"/>
                    <a:stretch>
                      <a:fillRect/>
                    </a:stretch>
                  </pic:blipFill>
                  <pic:spPr bwMode="auto">
                    <a:xfrm>
                      <a:off x="0" y="0"/>
                      <a:ext cx="5845175" cy="1856105"/>
                    </a:xfrm>
                    <a:prstGeom prst="rect">
                      <a:avLst/>
                    </a:prstGeom>
                  </pic:spPr>
                </pic:pic>
              </a:graphicData>
            </a:graphic>
          </wp:anchor>
        </w:drawing>
      </w:r>
      <w:r w:rsidRPr="004C697D">
        <w:rPr>
          <w:rFonts w:ascii="Times New Roman" w:eastAsia="Times New Roman" w:hAnsi="Times New Roman" w:cs="Times New Roman"/>
          <w:b/>
          <w:bCs/>
          <w:color w:val="000000"/>
          <w:sz w:val="24"/>
          <w:szCs w:val="24"/>
          <w:lang w:val="en-US"/>
        </w:rPr>
        <w:t>Fig. 1.</w:t>
      </w:r>
      <w:r w:rsidRPr="0020554D">
        <w:rPr>
          <w:rFonts w:ascii="Times New Roman" w:eastAsia="Times New Roman" w:hAnsi="Times New Roman" w:cs="Times New Roman"/>
          <w:color w:val="000000"/>
          <w:sz w:val="24"/>
          <w:szCs w:val="24"/>
          <w:lang w:val="en-US"/>
        </w:rPr>
        <w:t xml:space="preserve"> VVER-1200 reactor core pin cell material layers</w:t>
      </w:r>
    </w:p>
    <w:p w14:paraId="19F49042" w14:textId="77777777" w:rsidR="00FB7CB7" w:rsidRPr="0020554D" w:rsidRDefault="00FB7CB7">
      <w:pPr>
        <w:spacing w:line="240" w:lineRule="auto"/>
        <w:jc w:val="both"/>
        <w:rPr>
          <w:rFonts w:ascii="Times New Roman" w:eastAsia="Times New Roman" w:hAnsi="Times New Roman" w:cs="Times New Roman"/>
          <w:color w:val="000000"/>
          <w:lang w:val="en-US"/>
        </w:rPr>
      </w:pPr>
    </w:p>
    <w:p w14:paraId="564EFE61" w14:textId="77777777" w:rsidR="00FB7CB7" w:rsidRPr="0020554D" w:rsidRDefault="0020554D" w:rsidP="002B3D20">
      <w:pPr>
        <w:spacing w:line="240" w:lineRule="auto"/>
        <w:ind w:firstLine="397"/>
        <w:jc w:val="both"/>
        <w:rPr>
          <w:rFonts w:ascii="Times New Roman" w:eastAsia="Times New Roman" w:hAnsi="Times New Roman" w:cs="Times New Roman"/>
          <w:color w:val="000000"/>
          <w:lang w:val="en-US"/>
        </w:rPr>
      </w:pPr>
      <w:r w:rsidRPr="0020554D">
        <w:rPr>
          <w:rFonts w:ascii="Times New Roman" w:eastAsia="Times New Roman" w:hAnsi="Times New Roman" w:cs="Times New Roman"/>
          <w:color w:val="000000"/>
          <w:sz w:val="24"/>
          <w:szCs w:val="24"/>
          <w:lang w:val="en-US"/>
        </w:rPr>
        <w:t xml:space="preserve">We perform thermal hydraulic analyses of the VVER-1200 reactor core pin cell by solving the general heat conduction equation 1 for each material layer in the pin cell [2]. </w:t>
      </w:r>
    </w:p>
    <w:p w14:paraId="2F81B73D" w14:textId="77777777" w:rsidR="00FB7CB7" w:rsidRPr="0020554D" w:rsidRDefault="00FB7CB7">
      <w:pPr>
        <w:spacing w:line="240" w:lineRule="auto"/>
        <w:ind w:firstLine="284"/>
        <w:jc w:val="both"/>
        <w:rPr>
          <w:rFonts w:ascii="Times New Roman" w:eastAsia="Times New Roman" w:hAnsi="Times New Roman" w:cs="Times New Roman"/>
          <w:color w:val="000000"/>
          <w:sz w:val="24"/>
          <w:szCs w:val="24"/>
          <w:lang w:val="en-US"/>
        </w:rPr>
      </w:pPr>
    </w:p>
    <w:p w14:paraId="1E5F7D7F" w14:textId="2A234540" w:rsidR="00FB7CB7" w:rsidRPr="002B4AA4" w:rsidRDefault="002B4AA4" w:rsidP="002B4AA4">
      <w:pPr>
        <w:spacing w:line="240" w:lineRule="auto"/>
        <w:jc w:val="center"/>
        <w:rPr>
          <w:rFonts w:ascii="Times New Roman" w:hAnsi="Times New Roman" w:cs="Times New Roman"/>
          <w:sz w:val="24"/>
          <w:szCs w:val="24"/>
          <w:lang w:val="en-US"/>
        </w:rPr>
      </w:pPr>
      <w:r>
        <w:rPr>
          <w:rFonts w:ascii="Times New Roman" w:eastAsia="Times New Roman" w:hAnsi="Times New Roman" w:cs="Times New Roman"/>
          <w:lang w:val="en-US"/>
        </w:rPr>
        <w:t xml:space="preserve">                            </w:t>
      </w:r>
      <m:oMath>
        <m:f>
          <m:fPr>
            <m:ctrlPr>
              <w:rPr>
                <w:rFonts w:ascii="Cambria Math" w:hAnsi="Cambria Math" w:cs="Times New Roman"/>
              </w:rPr>
            </m:ctrlPr>
          </m:fPr>
          <m:num>
            <m:r>
              <w:rPr>
                <w:rFonts w:ascii="Cambria Math" w:hAnsi="Cambria Math" w:cs="Times New Roman"/>
                <w:lang w:val="en-US"/>
              </w:rPr>
              <m:t>1</m:t>
            </m:r>
          </m:num>
          <m:den>
            <m:r>
              <w:rPr>
                <w:rFonts w:ascii="Cambria Math" w:hAnsi="Cambria Math" w:cs="Times New Roman"/>
              </w:rPr>
              <m:t>r</m:t>
            </m:r>
          </m:den>
        </m:f>
        <m:r>
          <w:rPr>
            <w:rFonts w:ascii="Cambria Math" w:hAnsi="Cambria Math" w:cs="Times New Roman"/>
            <w:lang w:val="en-US"/>
          </w:rPr>
          <m:t>⋅</m:t>
        </m:r>
        <m:f>
          <m:fPr>
            <m:ctrlPr>
              <w:rPr>
                <w:rFonts w:ascii="Cambria Math" w:hAnsi="Cambria Math" w:cs="Times New Roman"/>
              </w:rPr>
            </m:ctrlPr>
          </m:fPr>
          <m:num>
            <m:r>
              <w:rPr>
                <w:rFonts w:ascii="Cambria Math" w:hAnsi="Cambria Math" w:cs="Times New Roman"/>
              </w:rPr>
              <m:t>∂</m:t>
            </m:r>
          </m:num>
          <m:den>
            <m:r>
              <w:rPr>
                <w:rFonts w:ascii="Cambria Math" w:hAnsi="Cambria Math" w:cs="Times New Roman"/>
              </w:rPr>
              <m:t>∂r</m:t>
            </m:r>
          </m:den>
        </m:f>
        <m:d>
          <m:dPr>
            <m:ctrlPr>
              <w:rPr>
                <w:rFonts w:ascii="Cambria Math" w:hAnsi="Cambria Math" w:cs="Times New Roman"/>
              </w:rPr>
            </m:ctrlPr>
          </m:dPr>
          <m:e>
            <m:r>
              <w:rPr>
                <w:rFonts w:ascii="Cambria Math" w:hAnsi="Cambria Math" w:cs="Times New Roman"/>
              </w:rPr>
              <m:t>λ</m:t>
            </m:r>
            <m:r>
              <w:rPr>
                <w:rFonts w:ascii="Cambria Math" w:hAnsi="Cambria Math" w:cs="Times New Roman"/>
                <w:lang w:val="en-US"/>
              </w:rPr>
              <m:t>⋅</m:t>
            </m:r>
            <m:r>
              <w:rPr>
                <w:rFonts w:ascii="Cambria Math" w:hAnsi="Cambria Math" w:cs="Times New Roman"/>
              </w:rPr>
              <m:t>r</m:t>
            </m:r>
            <m:f>
              <m:fPr>
                <m:ctrlPr>
                  <w:rPr>
                    <w:rFonts w:ascii="Cambria Math" w:hAnsi="Cambria Math" w:cs="Times New Roman"/>
                  </w:rPr>
                </m:ctrlPr>
              </m:fPr>
              <m:num>
                <m:r>
                  <w:rPr>
                    <w:rFonts w:ascii="Cambria Math" w:hAnsi="Cambria Math" w:cs="Times New Roman"/>
                  </w:rPr>
                  <m:t>∂T</m:t>
                </m:r>
              </m:num>
              <m:den>
                <m:r>
                  <w:rPr>
                    <w:rFonts w:ascii="Cambria Math" w:hAnsi="Cambria Math" w:cs="Times New Roman"/>
                  </w:rPr>
                  <m:t>∂r</m:t>
                </m:r>
              </m:den>
            </m:f>
          </m:e>
        </m:d>
        <m:r>
          <w:rPr>
            <w:rFonts w:ascii="Cambria Math" w:hAnsi="Cambria Math" w:cs="Times New Roman"/>
            <w:lang w:val="en-US"/>
          </w:rPr>
          <m:t>+</m:t>
        </m:r>
        <m:f>
          <m:fPr>
            <m:ctrlPr>
              <w:rPr>
                <w:rFonts w:ascii="Cambria Math" w:hAnsi="Cambria Math" w:cs="Times New Roman"/>
              </w:rPr>
            </m:ctrlPr>
          </m:fPr>
          <m:num>
            <m:r>
              <w:rPr>
                <w:rFonts w:ascii="Cambria Math" w:hAnsi="Cambria Math" w:cs="Times New Roman"/>
                <w:lang w:val="en-US"/>
              </w:rPr>
              <m:t>1</m:t>
            </m:r>
          </m:num>
          <m:den>
            <m:sSup>
              <m:sSupPr>
                <m:ctrlPr>
                  <w:rPr>
                    <w:rFonts w:ascii="Cambria Math" w:hAnsi="Cambria Math" w:cs="Times New Roman"/>
                  </w:rPr>
                </m:ctrlPr>
              </m:sSupPr>
              <m:e>
                <m:r>
                  <w:rPr>
                    <w:rFonts w:ascii="Cambria Math" w:hAnsi="Cambria Math" w:cs="Times New Roman"/>
                  </w:rPr>
                  <m:t>r</m:t>
                </m:r>
              </m:e>
              <m:sup>
                <m:r>
                  <w:rPr>
                    <w:rFonts w:ascii="Cambria Math" w:hAnsi="Cambria Math" w:cs="Times New Roman"/>
                    <w:lang w:val="en-US"/>
                  </w:rPr>
                  <m:t>2</m:t>
                </m:r>
              </m:sup>
            </m:sSup>
          </m:den>
        </m:f>
        <m:r>
          <w:rPr>
            <w:rFonts w:ascii="Cambria Math" w:hAnsi="Cambria Math" w:cs="Times New Roman"/>
            <w:lang w:val="en-US"/>
          </w:rPr>
          <m:t>⋅</m:t>
        </m:r>
        <m:f>
          <m:fPr>
            <m:ctrlPr>
              <w:rPr>
                <w:rFonts w:ascii="Cambria Math" w:hAnsi="Cambria Math" w:cs="Times New Roman"/>
              </w:rPr>
            </m:ctrlPr>
          </m:fPr>
          <m:num>
            <m:r>
              <w:rPr>
                <w:rFonts w:ascii="Cambria Math" w:hAnsi="Cambria Math" w:cs="Times New Roman"/>
              </w:rPr>
              <m:t>∂</m:t>
            </m:r>
          </m:num>
          <m:den>
            <m:r>
              <w:rPr>
                <w:rFonts w:ascii="Cambria Math" w:hAnsi="Cambria Math" w:cs="Times New Roman"/>
              </w:rPr>
              <m:t>∂ϕ</m:t>
            </m:r>
          </m:den>
        </m:f>
        <m:r>
          <w:rPr>
            <w:rFonts w:ascii="Cambria Math" w:hAnsi="Cambria Math" w:cs="Times New Roman"/>
            <w:lang w:val="en-US"/>
          </w:rPr>
          <m:t>⋅</m:t>
        </m:r>
        <m:d>
          <m:dPr>
            <m:ctrlPr>
              <w:rPr>
                <w:rFonts w:ascii="Cambria Math" w:hAnsi="Cambria Math" w:cs="Times New Roman"/>
              </w:rPr>
            </m:ctrlPr>
          </m:dPr>
          <m:e>
            <m:r>
              <w:rPr>
                <w:rFonts w:ascii="Cambria Math" w:hAnsi="Cambria Math" w:cs="Times New Roman"/>
              </w:rPr>
              <m:t>λ</m:t>
            </m:r>
            <m:r>
              <w:rPr>
                <w:rFonts w:ascii="Cambria Math" w:hAnsi="Cambria Math" w:cs="Times New Roman"/>
                <w:lang w:val="en-US"/>
              </w:rPr>
              <m:t>⋅</m:t>
            </m:r>
            <m:r>
              <w:rPr>
                <w:rFonts w:ascii="Cambria Math" w:hAnsi="Cambria Math" w:cs="Times New Roman"/>
              </w:rPr>
              <m:t>r</m:t>
            </m:r>
            <m:f>
              <m:fPr>
                <m:ctrlPr>
                  <w:rPr>
                    <w:rFonts w:ascii="Cambria Math" w:hAnsi="Cambria Math" w:cs="Times New Roman"/>
                  </w:rPr>
                </m:ctrlPr>
              </m:fPr>
              <m:num>
                <m:r>
                  <w:rPr>
                    <w:rFonts w:ascii="Cambria Math" w:hAnsi="Cambria Math" w:cs="Times New Roman"/>
                  </w:rPr>
                  <m:t>∂T</m:t>
                </m:r>
              </m:num>
              <m:den>
                <m:r>
                  <w:rPr>
                    <w:rFonts w:ascii="Cambria Math" w:hAnsi="Cambria Math" w:cs="Times New Roman"/>
                  </w:rPr>
                  <m:t>∂ϕ</m:t>
                </m:r>
              </m:den>
            </m:f>
          </m:e>
        </m:d>
        <m:r>
          <w:rPr>
            <w:rFonts w:ascii="Cambria Math" w:hAnsi="Cambria Math" w:cs="Times New Roman"/>
            <w:lang w:val="en-US"/>
          </w:rPr>
          <m:t>+</m:t>
        </m:r>
        <m:f>
          <m:fPr>
            <m:ctrlPr>
              <w:rPr>
                <w:rFonts w:ascii="Cambria Math" w:hAnsi="Cambria Math" w:cs="Times New Roman"/>
              </w:rPr>
            </m:ctrlPr>
          </m:fPr>
          <m:num>
            <m:r>
              <w:rPr>
                <w:rFonts w:ascii="Cambria Math" w:hAnsi="Cambria Math" w:cs="Times New Roman"/>
              </w:rPr>
              <m:t>∂</m:t>
            </m:r>
          </m:num>
          <m:den>
            <m:r>
              <w:rPr>
                <w:rFonts w:ascii="Cambria Math" w:hAnsi="Cambria Math" w:cs="Times New Roman"/>
              </w:rPr>
              <m:t>∂z</m:t>
            </m:r>
          </m:den>
        </m:f>
        <m:d>
          <m:dPr>
            <m:ctrlPr>
              <w:rPr>
                <w:rFonts w:ascii="Cambria Math" w:hAnsi="Cambria Math" w:cs="Times New Roman"/>
              </w:rPr>
            </m:ctrlPr>
          </m:dPr>
          <m:e>
            <m:r>
              <w:rPr>
                <w:rFonts w:ascii="Cambria Math" w:hAnsi="Cambria Math" w:cs="Times New Roman"/>
              </w:rPr>
              <m:t>λ</m:t>
            </m:r>
            <m:f>
              <m:fPr>
                <m:ctrlPr>
                  <w:rPr>
                    <w:rFonts w:ascii="Cambria Math" w:hAnsi="Cambria Math" w:cs="Times New Roman"/>
                  </w:rPr>
                </m:ctrlPr>
              </m:fPr>
              <m:num>
                <m:r>
                  <w:rPr>
                    <w:rFonts w:ascii="Cambria Math" w:hAnsi="Cambria Math" w:cs="Times New Roman"/>
                  </w:rPr>
                  <m:t>∂T</m:t>
                </m:r>
              </m:num>
              <m:den>
                <m:r>
                  <w:rPr>
                    <w:rFonts w:ascii="Cambria Math" w:hAnsi="Cambria Math" w:cs="Times New Roman"/>
                  </w:rPr>
                  <m:t>∂z</m:t>
                </m:r>
              </m:den>
            </m:f>
          </m:e>
        </m:d>
        <m:r>
          <w:rPr>
            <w:rFonts w:ascii="Cambria Math" w:hAnsi="Cambria Math" w:cs="Times New Roman"/>
            <w:lang w:val="en-US"/>
          </w:rPr>
          <m:t>+</m:t>
        </m:r>
        <m:sSub>
          <m:sSubPr>
            <m:ctrlPr>
              <w:rPr>
                <w:rFonts w:ascii="Cambria Math" w:hAnsi="Cambria Math" w:cs="Times New Roman"/>
              </w:rPr>
            </m:ctrlPr>
          </m:sSubPr>
          <m:e>
            <m:r>
              <w:rPr>
                <w:rFonts w:ascii="Cambria Math" w:hAnsi="Cambria Math" w:cs="Times New Roman"/>
              </w:rPr>
              <m:t>q</m:t>
            </m:r>
          </m:e>
          <m:sub>
            <m:r>
              <w:rPr>
                <w:rFonts w:ascii="Cambria Math" w:hAnsi="Cambria Math" w:cs="Times New Roman"/>
              </w:rPr>
              <m:t>v</m:t>
            </m:r>
          </m:sub>
        </m:sSub>
        <m:r>
          <w:rPr>
            <w:rFonts w:ascii="Cambria Math" w:hAnsi="Cambria Math" w:cs="Times New Roman"/>
            <w:lang w:val="en-US"/>
          </w:rPr>
          <m:t>=</m:t>
        </m:r>
        <m:r>
          <w:rPr>
            <w:rFonts w:ascii="Cambria Math" w:hAnsi="Cambria Math" w:cs="Times New Roman"/>
          </w:rPr>
          <m:t>ρ</m:t>
        </m:r>
        <m:r>
          <w:rPr>
            <w:rFonts w:ascii="Cambria Math" w:hAnsi="Cambria Math" w:cs="Times New Roman"/>
            <w:lang w:val="en-US"/>
          </w:rPr>
          <m:t>⋅</m:t>
        </m:r>
        <m:sSub>
          <m:sSubPr>
            <m:ctrlPr>
              <w:rPr>
                <w:rFonts w:ascii="Cambria Math" w:hAnsi="Cambria Math" w:cs="Times New Roman"/>
              </w:rPr>
            </m:ctrlPr>
          </m:sSubPr>
          <m:e>
            <m:r>
              <w:rPr>
                <w:rFonts w:ascii="Cambria Math" w:hAnsi="Cambria Math" w:cs="Times New Roman"/>
              </w:rPr>
              <m:t>C</m:t>
            </m:r>
          </m:e>
          <m:sub>
            <m:r>
              <w:rPr>
                <w:rFonts w:ascii="Cambria Math" w:hAnsi="Cambria Math" w:cs="Times New Roman"/>
              </w:rPr>
              <m:t>p</m:t>
            </m:r>
          </m:sub>
        </m:sSub>
        <m:f>
          <m:fPr>
            <m:ctrlPr>
              <w:rPr>
                <w:rFonts w:ascii="Cambria Math" w:hAnsi="Cambria Math" w:cs="Times New Roman"/>
              </w:rPr>
            </m:ctrlPr>
          </m:fPr>
          <m:num>
            <m:r>
              <w:rPr>
                <w:rFonts w:ascii="Cambria Math" w:hAnsi="Cambria Math" w:cs="Times New Roman"/>
              </w:rPr>
              <m:t>∂T</m:t>
            </m:r>
          </m:num>
          <m:den>
            <m:r>
              <w:rPr>
                <w:rFonts w:ascii="Cambria Math" w:hAnsi="Cambria Math" w:cs="Times New Roman"/>
              </w:rPr>
              <m:t>∂t</m:t>
            </m:r>
          </m:den>
        </m:f>
      </m:oMath>
      <w:r>
        <w:rPr>
          <w:rFonts w:ascii="Times New Roman" w:hAnsi="Times New Roman" w:cs="Times New Roman"/>
          <w:lang w:val="en-US"/>
        </w:rPr>
        <w:t xml:space="preserve">                             (1)</w:t>
      </w:r>
    </w:p>
    <w:p w14:paraId="505E3EE9" w14:textId="77777777" w:rsidR="00FB7CB7" w:rsidRPr="0020554D" w:rsidRDefault="00FB7CB7">
      <w:pPr>
        <w:spacing w:line="240" w:lineRule="auto"/>
        <w:ind w:firstLine="284"/>
        <w:jc w:val="both"/>
        <w:rPr>
          <w:rFonts w:ascii="Times New Roman" w:eastAsia="Times New Roman" w:hAnsi="Times New Roman" w:cs="Times New Roman"/>
          <w:color w:val="000000"/>
          <w:sz w:val="24"/>
          <w:szCs w:val="24"/>
          <w:lang w:val="en-US"/>
        </w:rPr>
      </w:pPr>
    </w:p>
    <w:p w14:paraId="4AA05F50" w14:textId="77777777" w:rsidR="00FB7CB7" w:rsidRPr="0020554D" w:rsidRDefault="0020554D">
      <w:pPr>
        <w:spacing w:line="240" w:lineRule="auto"/>
        <w:jc w:val="both"/>
        <w:rPr>
          <w:rFonts w:ascii="Times New Roman" w:hAnsi="Times New Roman" w:cs="Times New Roman"/>
          <w:sz w:val="24"/>
          <w:szCs w:val="24"/>
          <w:lang w:val="en-US"/>
        </w:rPr>
      </w:pPr>
      <w:r w:rsidRPr="0020554D">
        <w:rPr>
          <w:rFonts w:ascii="Times New Roman" w:eastAsia="Times New Roman" w:hAnsi="Times New Roman" w:cs="Times New Roman"/>
          <w:color w:val="000000"/>
          <w:sz w:val="24"/>
          <w:szCs w:val="24"/>
          <w:lang w:val="en-US"/>
        </w:rPr>
        <w:t>Where:</w:t>
      </w:r>
      <w:r w:rsidRPr="0020554D">
        <w:rPr>
          <w:rFonts w:ascii="Times New Roman" w:hAnsi="Times New Roman" w:cs="Times New Roman"/>
          <w:sz w:val="24"/>
          <w:szCs w:val="24"/>
          <w:lang w:val="en-US"/>
        </w:rPr>
        <w:t xml:space="preserve"> </w:t>
      </w:r>
      <m:oMath>
        <m:r>
          <w:rPr>
            <w:rFonts w:ascii="Cambria Math" w:hAnsi="Cambria Math" w:cs="Times New Roman"/>
          </w:rPr>
          <m:t>λ</m:t>
        </m:r>
      </m:oMath>
      <w:r w:rsidRPr="0020554D">
        <w:rPr>
          <w:rFonts w:ascii="Times New Roman" w:hAnsi="Times New Roman" w:cs="Times New Roman"/>
          <w:sz w:val="24"/>
          <w:szCs w:val="24"/>
          <w:lang w:val="en-US"/>
        </w:rPr>
        <w:t xml:space="preserve">, </w:t>
      </w:r>
      <m:oMath>
        <m:sSub>
          <m:sSubPr>
            <m:ctrlPr>
              <w:rPr>
                <w:rFonts w:ascii="Cambria Math" w:hAnsi="Cambria Math" w:cs="Times New Roman"/>
              </w:rPr>
            </m:ctrlPr>
          </m:sSubPr>
          <m:e>
            <m:r>
              <w:rPr>
                <w:rFonts w:ascii="Cambria Math" w:hAnsi="Cambria Math" w:cs="Times New Roman"/>
              </w:rPr>
              <m:t>C</m:t>
            </m:r>
          </m:e>
          <m:sub>
            <m:r>
              <w:rPr>
                <w:rFonts w:ascii="Cambria Math" w:hAnsi="Cambria Math" w:cs="Times New Roman"/>
              </w:rPr>
              <m:t>p</m:t>
            </m:r>
          </m:sub>
        </m:sSub>
      </m:oMath>
      <w:r w:rsidRPr="0020554D">
        <w:rPr>
          <w:rFonts w:ascii="Times New Roman" w:hAnsi="Times New Roman" w:cs="Times New Roman"/>
          <w:sz w:val="24"/>
          <w:szCs w:val="24"/>
          <w:lang w:val="en-US"/>
        </w:rPr>
        <w:t xml:space="preserve">, </w:t>
      </w:r>
      <m:oMath>
        <m:r>
          <w:rPr>
            <w:rFonts w:ascii="Cambria Math" w:hAnsi="Cambria Math" w:cs="Times New Roman"/>
          </w:rPr>
          <m:t>T</m:t>
        </m:r>
      </m:oMath>
      <w:r w:rsidRPr="0020554D">
        <w:rPr>
          <w:rFonts w:ascii="Times New Roman" w:hAnsi="Times New Roman" w:cs="Times New Roman"/>
          <w:sz w:val="24"/>
          <w:szCs w:val="24"/>
          <w:lang w:val="en-US"/>
        </w:rPr>
        <w:t xml:space="preserve">, </w:t>
      </w:r>
      <m:oMath>
        <m:sSub>
          <m:sSubPr>
            <m:ctrlPr>
              <w:rPr>
                <w:rFonts w:ascii="Cambria Math" w:hAnsi="Cambria Math" w:cs="Times New Roman"/>
              </w:rPr>
            </m:ctrlPr>
          </m:sSubPr>
          <m:e>
            <m:r>
              <w:rPr>
                <w:rFonts w:ascii="Cambria Math" w:hAnsi="Cambria Math" w:cs="Times New Roman"/>
              </w:rPr>
              <m:t>q</m:t>
            </m:r>
          </m:e>
          <m:sub>
            <m:r>
              <w:rPr>
                <w:rFonts w:ascii="Cambria Math" w:hAnsi="Cambria Math" w:cs="Times New Roman"/>
              </w:rPr>
              <m:t>v</m:t>
            </m:r>
          </m:sub>
        </m:sSub>
      </m:oMath>
      <w:r w:rsidRPr="0020554D">
        <w:rPr>
          <w:rFonts w:ascii="Times New Roman" w:hAnsi="Times New Roman" w:cs="Times New Roman"/>
          <w:sz w:val="24"/>
          <w:szCs w:val="24"/>
          <w:lang w:val="en-US"/>
        </w:rPr>
        <w:t xml:space="preserve">, </w:t>
      </w:r>
      <m:oMath>
        <m:r>
          <w:rPr>
            <w:rFonts w:ascii="Cambria Math" w:hAnsi="Cambria Math" w:cs="Times New Roman"/>
          </w:rPr>
          <m:t>ρ</m:t>
        </m:r>
      </m:oMath>
      <w:r w:rsidRPr="0020554D">
        <w:rPr>
          <w:rFonts w:ascii="Times New Roman" w:hAnsi="Times New Roman" w:cs="Times New Roman"/>
          <w:sz w:val="24"/>
          <w:szCs w:val="24"/>
          <w:lang w:val="en-US"/>
        </w:rPr>
        <w:t xml:space="preserve">, </w:t>
      </w:r>
      <w:r w:rsidRPr="0020554D">
        <w:rPr>
          <w:rFonts w:ascii="Times New Roman" w:eastAsia="Times New Roman" w:hAnsi="Times New Roman" w:cs="Times New Roman"/>
          <w:color w:val="000000"/>
          <w:sz w:val="24"/>
          <w:szCs w:val="24"/>
          <w:lang w:val="en-US"/>
        </w:rPr>
        <w:t xml:space="preserve">and </w:t>
      </w:r>
      <m:oMath>
        <m:r>
          <w:rPr>
            <w:rFonts w:ascii="Cambria Math" w:hAnsi="Cambria Math" w:cs="Times New Roman"/>
          </w:rPr>
          <m:t>r</m:t>
        </m:r>
      </m:oMath>
      <w:r w:rsidRPr="0020554D">
        <w:rPr>
          <w:rFonts w:ascii="Times New Roman" w:hAnsi="Times New Roman" w:cs="Times New Roman"/>
          <w:sz w:val="24"/>
          <w:szCs w:val="24"/>
          <w:lang w:val="en-US"/>
        </w:rPr>
        <w:t xml:space="preserve"> </w:t>
      </w:r>
      <w:r w:rsidRPr="0020554D">
        <w:rPr>
          <w:rFonts w:ascii="Times New Roman" w:eastAsia="Times New Roman" w:hAnsi="Times New Roman" w:cs="Times New Roman"/>
          <w:color w:val="000000"/>
          <w:sz w:val="24"/>
          <w:szCs w:val="24"/>
          <w:lang w:val="en-US"/>
        </w:rPr>
        <w:t xml:space="preserve">are thermal conductivity, isobaric specific heat capacity, temperature, volumetric local heat flux density, material physical density and layer radius respectively. </w:t>
      </w:r>
    </w:p>
    <w:p w14:paraId="057564C5" w14:textId="3ECE9DD7" w:rsidR="00FB7CB7" w:rsidRPr="0020554D" w:rsidRDefault="0020554D" w:rsidP="002B3D20">
      <w:pPr>
        <w:spacing w:line="240" w:lineRule="auto"/>
        <w:ind w:firstLine="397"/>
        <w:jc w:val="both"/>
        <w:rPr>
          <w:rFonts w:ascii="Times New Roman" w:eastAsia="Times New Roman" w:hAnsi="Times New Roman" w:cs="Times New Roman"/>
          <w:color w:val="000000"/>
          <w:lang w:val="en-US"/>
        </w:rPr>
      </w:pPr>
      <w:r w:rsidRPr="0020554D">
        <w:rPr>
          <w:rFonts w:ascii="Times New Roman" w:eastAsia="Times New Roman" w:hAnsi="Times New Roman" w:cs="Times New Roman"/>
          <w:color w:val="000000"/>
          <w:sz w:val="24"/>
          <w:szCs w:val="24"/>
          <w:lang w:val="en-US"/>
        </w:rPr>
        <w:t>Thermal hydraulic analysis is a crucial procedure in the adoption of the safety standards of nuclear reactors</w:t>
      </w:r>
      <w:r w:rsidR="00C8010F" w:rsidRPr="0020554D">
        <w:rPr>
          <w:rFonts w:ascii="Times New Roman" w:eastAsia="Times New Roman" w:hAnsi="Times New Roman" w:cs="Times New Roman"/>
          <w:color w:val="000000"/>
          <w:sz w:val="24"/>
          <w:szCs w:val="24"/>
          <w:lang w:val="en-US"/>
        </w:rPr>
        <w:t xml:space="preserve"> </w:t>
      </w:r>
      <w:r w:rsidRPr="0020554D">
        <w:rPr>
          <w:rFonts w:ascii="Times New Roman" w:eastAsia="Times New Roman" w:hAnsi="Times New Roman" w:cs="Times New Roman"/>
          <w:color w:val="000000"/>
          <w:sz w:val="24"/>
          <w:szCs w:val="24"/>
          <w:lang w:val="en-US"/>
        </w:rPr>
        <w:t xml:space="preserve">[1]. It is also crucial in the design phase of a nuclear reactor, during which the fuel rod modeling gives information on the heat transfer coefficient between the central hole and the fuel pellet, the fuel pellet and the cladding through the gas gap, and ultimately from the surface of the fuel cladding to the coolant. From these calculations, we establish the power produced by the reactor core and its removal by the coolant. During the analyses, we verify and ascertain the safety of the VVER-1200 by studying the behaviour of heat transfer along the radial axis of the pin cell. In order to ensure that the integrity of the reactor core sub-assembly is not compromised, the thermophysical properties of associated materials are chosen very carefully in the preliminary calculations. </w:t>
      </w:r>
    </w:p>
    <w:p w14:paraId="03A791D7" w14:textId="69ACE6B4" w:rsidR="00FB7CB7" w:rsidRPr="0020554D" w:rsidRDefault="0020554D" w:rsidP="002B3D20">
      <w:pPr>
        <w:spacing w:line="240" w:lineRule="auto"/>
        <w:ind w:firstLine="397"/>
        <w:jc w:val="both"/>
        <w:rPr>
          <w:rFonts w:ascii="Times New Roman" w:hAnsi="Times New Roman" w:cs="Times New Roman"/>
          <w:sz w:val="24"/>
          <w:szCs w:val="24"/>
          <w:lang w:val="en-US"/>
        </w:rPr>
      </w:pPr>
      <w:r w:rsidRPr="0020554D">
        <w:rPr>
          <w:rFonts w:ascii="Times New Roman" w:eastAsia="Times New Roman" w:hAnsi="Times New Roman" w:cs="Times New Roman"/>
          <w:color w:val="000000"/>
          <w:sz w:val="24"/>
          <w:szCs w:val="24"/>
          <w:lang w:val="en-US"/>
        </w:rPr>
        <w:t>UO</w:t>
      </w:r>
      <w:r w:rsidRPr="0020554D">
        <w:rPr>
          <w:rFonts w:ascii="Times New Roman" w:eastAsia="Times New Roman" w:hAnsi="Times New Roman" w:cs="Times New Roman"/>
          <w:color w:val="000000"/>
          <w:sz w:val="24"/>
          <w:szCs w:val="24"/>
          <w:vertAlign w:val="subscript"/>
          <w:lang w:val="en-US"/>
        </w:rPr>
        <w:t>2</w:t>
      </w:r>
      <w:r w:rsidRPr="0020554D">
        <w:rPr>
          <w:rFonts w:ascii="Times New Roman" w:eastAsia="Times New Roman" w:hAnsi="Times New Roman" w:cs="Times New Roman"/>
          <w:color w:val="000000"/>
          <w:sz w:val="24"/>
          <w:szCs w:val="24"/>
          <w:lang w:val="en-US"/>
        </w:rPr>
        <w:t xml:space="preserve"> is a fascinating material in this study in the sense that it exhibits low thermal conductivity, a behaviour that would result into formation of cracks in the pellet, however, it compensates for this nuisance with a significantly high melting point. The thermal conductivity </w:t>
      </w:r>
      <w:r w:rsidRPr="0020554D">
        <w:rPr>
          <w:rFonts w:ascii="Times New Roman" w:eastAsia="Times New Roman" w:hAnsi="Times New Roman" w:cs="Times New Roman"/>
          <w:color w:val="000000"/>
          <w:sz w:val="24"/>
          <w:szCs w:val="24"/>
          <w:lang w:val="en-US"/>
        </w:rPr>
        <w:lastRenderedPageBreak/>
        <w:t>of UO</w:t>
      </w:r>
      <w:r w:rsidRPr="0020554D">
        <w:rPr>
          <w:rFonts w:ascii="Times New Roman" w:eastAsia="Times New Roman" w:hAnsi="Times New Roman" w:cs="Times New Roman"/>
          <w:color w:val="000000"/>
          <w:sz w:val="24"/>
          <w:szCs w:val="24"/>
          <w:vertAlign w:val="subscript"/>
          <w:lang w:val="en-US"/>
        </w:rPr>
        <w:t xml:space="preserve">2 </w:t>
      </w:r>
      <w:r w:rsidRPr="0020554D">
        <w:rPr>
          <w:rFonts w:ascii="Times New Roman" w:eastAsia="Times New Roman" w:hAnsi="Times New Roman" w:cs="Times New Roman"/>
          <w:color w:val="000000"/>
          <w:sz w:val="24"/>
          <w:szCs w:val="24"/>
          <w:lang w:val="en-US"/>
        </w:rPr>
        <w:t xml:space="preserve">dictates the nature of the temperature difference between the center-line temperature and the surface temperature during the removal of fission heat from the fuel. A poor thermal conductivity of the fuel would thus result into a large temperature difference. In the VVER-1200, the gas gap </w:t>
      </w:r>
      <w:r w:rsidR="00C8010F" w:rsidRPr="0020554D">
        <w:rPr>
          <w:rFonts w:ascii="Times New Roman" w:eastAsia="Times New Roman" w:hAnsi="Times New Roman" w:cs="Times New Roman"/>
          <w:color w:val="000000"/>
          <w:sz w:val="24"/>
          <w:szCs w:val="24"/>
          <w:lang w:val="en-US"/>
        </w:rPr>
        <w:t>constitutes</w:t>
      </w:r>
      <w:r w:rsidRPr="0020554D">
        <w:rPr>
          <w:rFonts w:ascii="Times New Roman" w:eastAsia="Times New Roman" w:hAnsi="Times New Roman" w:cs="Times New Roman"/>
          <w:color w:val="000000"/>
          <w:sz w:val="24"/>
          <w:szCs w:val="24"/>
          <w:lang w:val="en-US"/>
        </w:rPr>
        <w:t xml:space="preserve"> He gas. Both of the fuel and the gas gap materials exhibit low thermal conductivities, but this is compensated for by</w:t>
      </w:r>
      <w:r w:rsidR="00D342B1">
        <w:rPr>
          <w:rFonts w:ascii="Times New Roman" w:eastAsia="Times New Roman" w:hAnsi="Times New Roman" w:cs="Times New Roman"/>
          <w:color w:val="000000"/>
          <w:sz w:val="24"/>
          <w:szCs w:val="24"/>
          <w:lang w:val="en-US"/>
        </w:rPr>
        <w:t xml:space="preserve"> significantly</w:t>
      </w:r>
      <w:r w:rsidRPr="0020554D">
        <w:rPr>
          <w:rFonts w:ascii="Times New Roman" w:eastAsia="Times New Roman" w:hAnsi="Times New Roman" w:cs="Times New Roman"/>
          <w:color w:val="000000"/>
          <w:sz w:val="24"/>
          <w:szCs w:val="24"/>
          <w:lang w:val="en-US"/>
        </w:rPr>
        <w:t xml:space="preserve"> reducing the gas gap thickness and introducing a cladding material layer, E-110 with a significantly high thermal conductivity in order to allow </w:t>
      </w:r>
      <w:r w:rsidR="00D924EA">
        <w:rPr>
          <w:rFonts w:ascii="Times New Roman" w:eastAsia="Times New Roman" w:hAnsi="Times New Roman" w:cs="Times New Roman"/>
          <w:color w:val="000000"/>
          <w:sz w:val="24"/>
          <w:szCs w:val="24"/>
          <w:lang w:val="en-US"/>
        </w:rPr>
        <w:t>rapid</w:t>
      </w:r>
      <w:r w:rsidRPr="0020554D">
        <w:rPr>
          <w:rFonts w:ascii="Times New Roman" w:eastAsia="Times New Roman" w:hAnsi="Times New Roman" w:cs="Times New Roman"/>
          <w:color w:val="000000"/>
          <w:sz w:val="24"/>
          <w:szCs w:val="24"/>
          <w:lang w:val="en-US"/>
        </w:rPr>
        <w:t xml:space="preserve"> heat transfer from the fuel element to the coolant.</w:t>
      </w:r>
    </w:p>
    <w:p w14:paraId="4E92A864" w14:textId="335A20D8" w:rsidR="00FB7CB7" w:rsidRPr="0020554D" w:rsidRDefault="0020554D" w:rsidP="002B3D20">
      <w:pPr>
        <w:spacing w:line="240" w:lineRule="auto"/>
        <w:ind w:firstLine="397"/>
        <w:jc w:val="both"/>
        <w:rPr>
          <w:rFonts w:ascii="Times New Roman" w:hAnsi="Times New Roman" w:cs="Times New Roman"/>
          <w:sz w:val="24"/>
          <w:szCs w:val="24"/>
          <w:lang w:val="en-US"/>
        </w:rPr>
      </w:pPr>
      <w:r w:rsidRPr="0020554D">
        <w:rPr>
          <w:rFonts w:ascii="Times New Roman" w:eastAsia="Times New Roman" w:hAnsi="Times New Roman" w:cs="Times New Roman"/>
          <w:color w:val="000000"/>
          <w:sz w:val="24"/>
          <w:szCs w:val="24"/>
          <w:lang w:val="en-US"/>
        </w:rPr>
        <w:t>The adopted methodology involves initially performing preliminary thermophysical calculations associated with the pin cell material layers to prepare thermal hydraulic</w:t>
      </w:r>
      <w:r w:rsidR="009274BD">
        <w:rPr>
          <w:rFonts w:ascii="Times New Roman" w:eastAsia="Times New Roman" w:hAnsi="Times New Roman" w:cs="Times New Roman"/>
          <w:color w:val="000000"/>
          <w:sz w:val="24"/>
          <w:szCs w:val="24"/>
          <w:lang w:val="en-US"/>
        </w:rPr>
        <w:t>s</w:t>
      </w:r>
      <w:r w:rsidRPr="0020554D">
        <w:rPr>
          <w:rFonts w:ascii="Times New Roman" w:eastAsia="Times New Roman" w:hAnsi="Times New Roman" w:cs="Times New Roman"/>
          <w:color w:val="000000"/>
          <w:sz w:val="24"/>
          <w:szCs w:val="24"/>
          <w:lang w:val="en-US"/>
        </w:rPr>
        <w:t xml:space="preserve"> analys</w:t>
      </w:r>
      <w:r w:rsidR="009274BD">
        <w:rPr>
          <w:rFonts w:ascii="Times New Roman" w:eastAsia="Times New Roman" w:hAnsi="Times New Roman" w:cs="Times New Roman"/>
          <w:color w:val="000000"/>
          <w:sz w:val="24"/>
          <w:szCs w:val="24"/>
          <w:lang w:val="en-US"/>
        </w:rPr>
        <w:t>e</w:t>
      </w:r>
      <w:r w:rsidRPr="0020554D">
        <w:rPr>
          <w:rFonts w:ascii="Times New Roman" w:eastAsia="Times New Roman" w:hAnsi="Times New Roman" w:cs="Times New Roman"/>
          <w:color w:val="000000"/>
          <w:sz w:val="24"/>
          <w:szCs w:val="24"/>
          <w:lang w:val="en-US"/>
        </w:rPr>
        <w:t xml:space="preserve">s input data and boundary conditions. In this case, the isobaric specific heat capacity, thermal conductivity and physical density associated with the fuel, the gas gap material, the cladding and the coolant </w:t>
      </w:r>
      <w:r w:rsidR="009274BD">
        <w:rPr>
          <w:rFonts w:ascii="Times New Roman" w:eastAsia="Times New Roman" w:hAnsi="Times New Roman" w:cs="Times New Roman"/>
          <w:color w:val="000000"/>
          <w:sz w:val="24"/>
          <w:szCs w:val="24"/>
          <w:lang w:val="en-US"/>
        </w:rPr>
        <w:t>are</w:t>
      </w:r>
      <w:r w:rsidRPr="0020554D">
        <w:rPr>
          <w:rFonts w:ascii="Times New Roman" w:eastAsia="Times New Roman" w:hAnsi="Times New Roman" w:cs="Times New Roman"/>
          <w:color w:val="000000"/>
          <w:sz w:val="24"/>
          <w:szCs w:val="24"/>
          <w:lang w:val="en-US"/>
        </w:rPr>
        <w:t xml:space="preserve"> computed from empirical correlations [3]. Some results of the first stage are presented in the form of graphical plots in figure 2.</w:t>
      </w:r>
    </w:p>
    <w:p w14:paraId="65C8A1CA" w14:textId="6E42465C" w:rsidR="00FB7CB7" w:rsidRPr="004B0856" w:rsidRDefault="0020554D" w:rsidP="004B0856">
      <w:pPr>
        <w:spacing w:line="240" w:lineRule="auto"/>
        <w:jc w:val="center"/>
        <w:rPr>
          <w:rFonts w:ascii="Times New Roman" w:eastAsia="Times New Roman" w:hAnsi="Times New Roman" w:cs="Times New Roman"/>
          <w:b/>
          <w:sz w:val="24"/>
          <w:szCs w:val="24"/>
          <w:lang w:val="en-US"/>
        </w:rPr>
      </w:pPr>
      <w:r w:rsidRPr="0020554D">
        <w:rPr>
          <w:rFonts w:ascii="Times New Roman" w:eastAsia="Times New Roman" w:hAnsi="Times New Roman" w:cs="Times New Roman"/>
          <w:b/>
          <w:noProof/>
          <w:sz w:val="24"/>
          <w:szCs w:val="24"/>
        </w:rPr>
        <w:drawing>
          <wp:anchor distT="0" distB="0" distL="0" distR="0" simplePos="0" relativeHeight="10" behindDoc="0" locked="0" layoutInCell="0" allowOverlap="1" wp14:anchorId="21285CF8" wp14:editId="24835F9A">
            <wp:simplePos x="0" y="0"/>
            <wp:positionH relativeFrom="column">
              <wp:align>center</wp:align>
            </wp:positionH>
            <wp:positionV relativeFrom="paragraph">
              <wp:posOffset>635</wp:posOffset>
            </wp:positionV>
            <wp:extent cx="5849620" cy="1971675"/>
            <wp:effectExtent l="0" t="0" r="0" b="0"/>
            <wp:wrapSquare wrapText="largest"/>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5"/>
                    <a:srcRect r="997" b="2175"/>
                    <a:stretch>
                      <a:fillRect/>
                    </a:stretch>
                  </pic:blipFill>
                  <pic:spPr bwMode="auto">
                    <a:xfrm>
                      <a:off x="0" y="0"/>
                      <a:ext cx="5849620" cy="1971675"/>
                    </a:xfrm>
                    <a:prstGeom prst="rect">
                      <a:avLst/>
                    </a:prstGeom>
                  </pic:spPr>
                </pic:pic>
              </a:graphicData>
            </a:graphic>
          </wp:anchor>
        </w:drawing>
      </w:r>
      <w:r w:rsidRPr="004C697D">
        <w:rPr>
          <w:rFonts w:ascii="Times New Roman" w:eastAsia="Times New Roman" w:hAnsi="Times New Roman" w:cs="Times New Roman"/>
          <w:b/>
          <w:bCs/>
          <w:sz w:val="24"/>
          <w:szCs w:val="24"/>
          <w:lang w:val="en-US"/>
        </w:rPr>
        <w:t>Fig. 2.</w:t>
      </w:r>
      <w:r w:rsidRPr="0020554D">
        <w:rPr>
          <w:rFonts w:ascii="Times New Roman" w:eastAsia="Times New Roman" w:hAnsi="Times New Roman" w:cs="Times New Roman"/>
          <w:sz w:val="24"/>
          <w:szCs w:val="24"/>
          <w:lang w:val="en-US"/>
        </w:rPr>
        <w:t xml:space="preserve"> Thermophysical properties of the gas gap and </w:t>
      </w:r>
      <w:r w:rsidR="009274BD">
        <w:rPr>
          <w:rFonts w:ascii="Times New Roman" w:eastAsia="Times New Roman" w:hAnsi="Times New Roman" w:cs="Times New Roman"/>
          <w:sz w:val="24"/>
          <w:szCs w:val="24"/>
          <w:lang w:val="en-US"/>
        </w:rPr>
        <w:t>the fuel</w:t>
      </w:r>
      <w:r w:rsidRPr="0020554D">
        <w:rPr>
          <w:rFonts w:ascii="Times New Roman" w:eastAsia="Times New Roman" w:hAnsi="Times New Roman" w:cs="Times New Roman"/>
          <w:sz w:val="24"/>
          <w:szCs w:val="24"/>
          <w:lang w:val="en-US"/>
        </w:rPr>
        <w:t xml:space="preserve"> materials</w:t>
      </w:r>
    </w:p>
    <w:p w14:paraId="5CF3B94B" w14:textId="77777777" w:rsidR="00FB7CB7" w:rsidRPr="0020554D" w:rsidRDefault="00FB7CB7">
      <w:pPr>
        <w:spacing w:line="240" w:lineRule="auto"/>
        <w:ind w:firstLine="284"/>
        <w:jc w:val="both"/>
        <w:rPr>
          <w:rFonts w:ascii="Times New Roman" w:eastAsia="Times New Roman" w:hAnsi="Times New Roman" w:cs="Times New Roman"/>
          <w:sz w:val="24"/>
          <w:szCs w:val="24"/>
          <w:lang w:val="en-US"/>
        </w:rPr>
      </w:pPr>
    </w:p>
    <w:p w14:paraId="0D185634" w14:textId="7F92342D" w:rsidR="00FB7CB7" w:rsidRPr="0020554D" w:rsidRDefault="0020554D" w:rsidP="002B3D20">
      <w:pPr>
        <w:spacing w:line="240" w:lineRule="auto"/>
        <w:jc w:val="both"/>
        <w:rPr>
          <w:rFonts w:ascii="Times New Roman" w:hAnsi="Times New Roman" w:cs="Times New Roman"/>
          <w:sz w:val="24"/>
          <w:szCs w:val="24"/>
          <w:lang w:val="en-US"/>
        </w:rPr>
      </w:pPr>
      <w:r w:rsidRPr="0020554D">
        <w:rPr>
          <w:rFonts w:ascii="Times New Roman" w:eastAsia="Times New Roman" w:hAnsi="Times New Roman" w:cs="Times New Roman"/>
          <w:color w:val="000000"/>
          <w:sz w:val="24"/>
          <w:szCs w:val="24"/>
          <w:lang w:val="en-US"/>
        </w:rPr>
        <w:t>Secondly, we adopt the preliminary design parameters associated with the pin cell in the creation of a CAD model from which geometry data for mesh generation in the computational fluid dynamics (CFD) analysis is retrieved. Thirdly, we prepare schemes for analytical and numerical solutions of the steady-state version of the thermal conduction equation 1. The numerical solution is to be performed in ANSYS. And lastly, the results of the two techniques are to be cross-validated, uncertainty quantification done and presented in the form of peak centerline temperature, fuel and clad temperature distributions</w:t>
      </w:r>
      <w:r w:rsidR="009274BD">
        <w:rPr>
          <w:rFonts w:ascii="Times New Roman" w:eastAsia="Times New Roman" w:hAnsi="Times New Roman" w:cs="Times New Roman"/>
          <w:color w:val="000000"/>
          <w:sz w:val="24"/>
          <w:szCs w:val="24"/>
          <w:lang w:val="en-US"/>
        </w:rPr>
        <w:t>,</w:t>
      </w:r>
      <w:r w:rsidRPr="0020554D">
        <w:rPr>
          <w:rFonts w:ascii="Times New Roman" w:eastAsia="Times New Roman" w:hAnsi="Times New Roman" w:cs="Times New Roman"/>
          <w:color w:val="000000"/>
          <w:sz w:val="24"/>
          <w:szCs w:val="24"/>
          <w:lang w:val="en-US"/>
        </w:rPr>
        <w:t xml:space="preserve"> and thermal flux distributions along the radial profile of the reactor core pin cell. This research work can further be extended to take into account thermal hydraulic processes and system behaviour in transient states.</w:t>
      </w:r>
    </w:p>
    <w:p w14:paraId="79AFC834" w14:textId="77777777" w:rsidR="00FB7CB7" w:rsidRPr="0020554D" w:rsidRDefault="00FB7CB7">
      <w:pPr>
        <w:spacing w:line="240" w:lineRule="auto"/>
        <w:ind w:firstLine="284"/>
        <w:jc w:val="both"/>
        <w:rPr>
          <w:rFonts w:ascii="Times New Roman" w:eastAsia="Times New Roman" w:hAnsi="Times New Roman" w:cs="Times New Roman"/>
          <w:color w:val="000000"/>
          <w:lang w:val="en-US"/>
        </w:rPr>
      </w:pPr>
    </w:p>
    <w:p w14:paraId="6F24D434" w14:textId="779DCE15" w:rsidR="004129BF" w:rsidRPr="0070680E" w:rsidRDefault="0020554D" w:rsidP="0070680E">
      <w:pPr>
        <w:spacing w:line="240" w:lineRule="auto"/>
        <w:jc w:val="center"/>
        <w:rPr>
          <w:rFonts w:ascii="Times New Roman" w:eastAsia="Times New Roman" w:hAnsi="Times New Roman" w:cs="Times New Roman"/>
          <w:b/>
          <w:sz w:val="24"/>
          <w:szCs w:val="24"/>
          <w:lang w:val="en-US"/>
        </w:rPr>
      </w:pPr>
      <w:r w:rsidRPr="0020554D">
        <w:rPr>
          <w:rFonts w:ascii="Times New Roman" w:eastAsia="Times New Roman" w:hAnsi="Times New Roman" w:cs="Times New Roman"/>
          <w:b/>
          <w:sz w:val="24"/>
          <w:szCs w:val="24"/>
          <w:lang w:val="en-US"/>
        </w:rPr>
        <w:t>Literature</w:t>
      </w:r>
    </w:p>
    <w:p w14:paraId="0E783368" w14:textId="775852A6" w:rsidR="00FB7CB7" w:rsidRPr="0020554D" w:rsidRDefault="0020554D" w:rsidP="00217D22">
      <w:pPr>
        <w:keepLines/>
        <w:spacing w:line="240" w:lineRule="auto"/>
        <w:ind w:firstLine="397"/>
        <w:jc w:val="both"/>
        <w:rPr>
          <w:rFonts w:ascii="Times New Roman" w:eastAsia="Times New Roman" w:hAnsi="Times New Roman" w:cs="Times New Roman"/>
          <w:lang w:val="en-US"/>
        </w:rPr>
      </w:pPr>
      <w:r w:rsidRPr="0020554D">
        <w:rPr>
          <w:rFonts w:ascii="Times New Roman" w:eastAsia="Times New Roman" w:hAnsi="Times New Roman" w:cs="Times New Roman"/>
          <w:sz w:val="24"/>
          <w:szCs w:val="24"/>
          <w:lang w:val="en-US"/>
        </w:rPr>
        <w:t>1</w:t>
      </w:r>
      <w:r w:rsidR="00217D22">
        <w:rPr>
          <w:rFonts w:ascii="Times New Roman" w:eastAsia="Times New Roman" w:hAnsi="Times New Roman" w:cs="Times New Roman"/>
          <w:sz w:val="24"/>
          <w:szCs w:val="24"/>
          <w:lang w:val="en-US"/>
        </w:rPr>
        <w:t xml:space="preserve">. </w:t>
      </w:r>
      <w:r w:rsidRPr="0020554D">
        <w:rPr>
          <w:rFonts w:ascii="Times New Roman" w:eastAsia="Times New Roman" w:hAnsi="Times New Roman" w:cs="Times New Roman"/>
          <w:sz w:val="24"/>
          <w:szCs w:val="24"/>
          <w:lang w:val="en-US"/>
        </w:rPr>
        <w:t>Todreas,</w:t>
      </w:r>
      <w:r w:rsidR="00BF7DDA">
        <w:rPr>
          <w:rFonts w:ascii="Times New Roman" w:eastAsia="Times New Roman" w:hAnsi="Times New Roman" w:cs="Times New Roman"/>
          <w:sz w:val="24"/>
          <w:szCs w:val="24"/>
          <w:lang w:val="en-US"/>
        </w:rPr>
        <w:t xml:space="preserve"> </w:t>
      </w:r>
      <w:r w:rsidRPr="0020554D">
        <w:rPr>
          <w:rFonts w:ascii="Times New Roman" w:eastAsia="Times New Roman" w:hAnsi="Times New Roman" w:cs="Times New Roman"/>
          <w:sz w:val="24"/>
          <w:szCs w:val="24"/>
          <w:lang w:val="en-US"/>
        </w:rPr>
        <w:t>Neil E., and Mujid S</w:t>
      </w:r>
      <w:r w:rsidR="009274BD">
        <w:rPr>
          <w:rFonts w:ascii="Times New Roman" w:eastAsia="Times New Roman" w:hAnsi="Times New Roman" w:cs="Times New Roman"/>
          <w:sz w:val="24"/>
          <w:szCs w:val="24"/>
          <w:lang w:val="en-US"/>
        </w:rPr>
        <w:t>.K</w:t>
      </w:r>
      <w:r w:rsidRPr="0020554D">
        <w:rPr>
          <w:rFonts w:ascii="Times New Roman" w:eastAsia="Times New Roman" w:hAnsi="Times New Roman" w:cs="Times New Roman"/>
          <w:sz w:val="24"/>
          <w:szCs w:val="24"/>
          <w:lang w:val="en-US"/>
        </w:rPr>
        <w:t>. Nuclear Systems I: Thermal Hydraulic Fundamentals. -Hemisphere Pub, 2001.</w:t>
      </w:r>
    </w:p>
    <w:p w14:paraId="3458D979" w14:textId="4F241B87" w:rsidR="00FB7CB7" w:rsidRPr="0020554D" w:rsidRDefault="00217D22" w:rsidP="00217D22">
      <w:pPr>
        <w:keepLines/>
        <w:spacing w:line="240" w:lineRule="auto"/>
        <w:ind w:firstLine="397"/>
        <w:jc w:val="both"/>
        <w:rPr>
          <w:rFonts w:ascii="Times New Roman" w:eastAsia="Times New Roman" w:hAnsi="Times New Roman" w:cs="Times New Roman"/>
          <w:lang w:val="en-US"/>
        </w:rPr>
      </w:pPr>
      <w:r>
        <w:rPr>
          <w:rFonts w:ascii="Times New Roman" w:eastAsia="Times New Roman" w:hAnsi="Times New Roman" w:cs="Times New Roman"/>
          <w:sz w:val="24"/>
          <w:szCs w:val="24"/>
          <w:lang w:val="en-US"/>
        </w:rPr>
        <w:t xml:space="preserve">2. </w:t>
      </w:r>
      <w:r w:rsidR="0020554D" w:rsidRPr="0020554D">
        <w:rPr>
          <w:rFonts w:ascii="Times New Roman" w:eastAsia="Times New Roman" w:hAnsi="Times New Roman" w:cs="Times New Roman"/>
          <w:sz w:val="24"/>
          <w:szCs w:val="24"/>
          <w:lang w:val="en-US"/>
        </w:rPr>
        <w:t>Çengel</w:t>
      </w:r>
      <w:r w:rsidR="00F5247F">
        <w:rPr>
          <w:rFonts w:ascii="Times New Roman" w:eastAsia="Times New Roman" w:hAnsi="Times New Roman" w:cs="Times New Roman"/>
          <w:sz w:val="24"/>
          <w:szCs w:val="24"/>
          <w:lang w:val="en-US"/>
        </w:rPr>
        <w:t xml:space="preserve"> </w:t>
      </w:r>
      <w:r w:rsidR="0020554D" w:rsidRPr="0020554D">
        <w:rPr>
          <w:rFonts w:ascii="Times New Roman" w:eastAsia="Times New Roman" w:hAnsi="Times New Roman" w:cs="Times New Roman"/>
          <w:sz w:val="24"/>
          <w:szCs w:val="24"/>
          <w:lang w:val="en-US"/>
        </w:rPr>
        <w:t xml:space="preserve">Yunus A. Heat and Mass Transfer: Fundamentals and Applications. New York, </w:t>
      </w:r>
      <w:r w:rsidR="00BF7DDA" w:rsidRPr="0020554D">
        <w:rPr>
          <w:rFonts w:ascii="Times New Roman" w:eastAsia="Times New Roman" w:hAnsi="Times New Roman" w:cs="Times New Roman"/>
          <w:sz w:val="24"/>
          <w:szCs w:val="24"/>
          <w:lang w:val="en-US"/>
        </w:rPr>
        <w:t>McGraw</w:t>
      </w:r>
      <w:r w:rsidR="0020554D" w:rsidRPr="0020554D">
        <w:rPr>
          <w:rFonts w:ascii="Times New Roman" w:eastAsia="Times New Roman" w:hAnsi="Times New Roman" w:cs="Times New Roman"/>
          <w:sz w:val="24"/>
          <w:szCs w:val="24"/>
          <w:lang w:val="en-US"/>
        </w:rPr>
        <w:t xml:space="preserve"> Hill Higher Education, 2011.</w:t>
      </w:r>
    </w:p>
    <w:p w14:paraId="4F9BD5BE" w14:textId="3740F6C4" w:rsidR="00FB7CB7" w:rsidRPr="0020554D" w:rsidRDefault="00A9105F" w:rsidP="00A9105F">
      <w:pPr>
        <w:keepLines/>
        <w:spacing w:line="240" w:lineRule="auto"/>
        <w:ind w:firstLine="397"/>
        <w:jc w:val="both"/>
        <w:rPr>
          <w:rFonts w:ascii="Times New Roman" w:eastAsia="Times New Roman" w:hAnsi="Times New Roman" w:cs="Times New Roman"/>
          <w:lang w:val="en-US"/>
        </w:rPr>
      </w:pPr>
      <w:r>
        <w:rPr>
          <w:rFonts w:ascii="Times New Roman" w:eastAsia="Times New Roman" w:hAnsi="Times New Roman" w:cs="Times New Roman"/>
          <w:sz w:val="24"/>
          <w:szCs w:val="24"/>
          <w:lang w:val="en-US"/>
        </w:rPr>
        <w:t xml:space="preserve">3. </w:t>
      </w:r>
      <w:r w:rsidR="0020554D" w:rsidRPr="0020554D">
        <w:rPr>
          <w:rFonts w:ascii="Times New Roman" w:eastAsia="Times New Roman" w:hAnsi="Times New Roman" w:cs="Times New Roman"/>
          <w:sz w:val="24"/>
          <w:szCs w:val="24"/>
          <w:lang w:val="en-US"/>
        </w:rPr>
        <w:t>International Atomic Energy Agency, Thermophysical Properties of Materials for Nuclear Engineering: A tutorial and Collection of Data. Vienna: International Atomic Energy Agency, 2008.</w:t>
      </w:r>
    </w:p>
    <w:sectPr w:rsidR="00FB7CB7" w:rsidRPr="0020554D" w:rsidSect="003646B9">
      <w:pgSz w:w="11906" w:h="16838"/>
      <w:pgMar w:top="1134" w:right="1361" w:bottom="1259" w:left="1361"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FreeSans">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FB7CB7"/>
    <w:rsid w:val="00065D10"/>
    <w:rsid w:val="0007450F"/>
    <w:rsid w:val="00197CCD"/>
    <w:rsid w:val="0020554D"/>
    <w:rsid w:val="00217D22"/>
    <w:rsid w:val="002B3D20"/>
    <w:rsid w:val="002B4AA4"/>
    <w:rsid w:val="003619A8"/>
    <w:rsid w:val="003646B9"/>
    <w:rsid w:val="003F1151"/>
    <w:rsid w:val="004129BF"/>
    <w:rsid w:val="004B0856"/>
    <w:rsid w:val="004C697D"/>
    <w:rsid w:val="00542F55"/>
    <w:rsid w:val="0057227C"/>
    <w:rsid w:val="0070680E"/>
    <w:rsid w:val="00761280"/>
    <w:rsid w:val="00825693"/>
    <w:rsid w:val="009274BD"/>
    <w:rsid w:val="00A9105F"/>
    <w:rsid w:val="00BF7DDA"/>
    <w:rsid w:val="00C8010F"/>
    <w:rsid w:val="00D21BF5"/>
    <w:rsid w:val="00D342B1"/>
    <w:rsid w:val="00D924EA"/>
    <w:rsid w:val="00EE4EA0"/>
    <w:rsid w:val="00F5247F"/>
    <w:rsid w:val="00FB7CB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1D710"/>
  <w15:docId w15:val="{E14D6750-7B57-40A0-ABF8-BCFAE1D18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4CFA"/>
    <w:rPr>
      <w:color w:val="0000FF"/>
      <w:u w:val="single"/>
    </w:rPr>
  </w:style>
  <w:style w:type="character" w:customStyle="1" w:styleId="organictitlecontentspan">
    <w:name w:val="organictitlecontentspan"/>
    <w:basedOn w:val="DefaultParagraphFont"/>
    <w:qFormat/>
    <w:rsid w:val="00084CFA"/>
  </w:style>
  <w:style w:type="character" w:customStyle="1" w:styleId="BalloonTextChar">
    <w:name w:val="Balloon Text Char"/>
    <w:basedOn w:val="DefaultParagraphFont"/>
    <w:link w:val="BalloonText"/>
    <w:uiPriority w:val="99"/>
    <w:semiHidden/>
    <w:qFormat/>
    <w:rsid w:val="008D6B97"/>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Noto Sans CJK SC" w:hAnsi="Liberation Sans" w:cs="FreeSans"/>
      <w:sz w:val="28"/>
      <w:szCs w:val="28"/>
    </w:rPr>
  </w:style>
  <w:style w:type="paragraph" w:styleId="BodyText">
    <w:name w:val="Body Text"/>
    <w:basedOn w:val="Normal"/>
    <w:pPr>
      <w:spacing w:after="140"/>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084CFA"/>
    <w:pPr>
      <w:ind w:left="720"/>
      <w:contextualSpacing/>
    </w:pPr>
  </w:style>
  <w:style w:type="paragraph" w:styleId="BalloonText">
    <w:name w:val="Balloon Text"/>
    <w:basedOn w:val="Normal"/>
    <w:link w:val="BalloonTextChar"/>
    <w:uiPriority w:val="99"/>
    <w:semiHidden/>
    <w:unhideWhenUsed/>
    <w:qFormat/>
    <w:rsid w:val="008D6B97"/>
    <w:pPr>
      <w:spacing w:line="240" w:lineRule="auto"/>
    </w:pPr>
    <w:rPr>
      <w:rFonts w:ascii="Segoe UI" w:hAnsi="Segoe UI" w:cs="Segoe UI"/>
      <w:sz w:val="18"/>
      <w:szCs w:val="18"/>
    </w:rPr>
  </w:style>
  <w:style w:type="table" w:customStyle="1" w:styleId="TableNormal1">
    <w:name w:val="Table Normal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1948</TotalTime>
  <Pages>2</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dean siachilima</cp:lastModifiedBy>
  <cp:revision>23</cp:revision>
  <cp:lastPrinted>2023-10-11T13:40:00Z</cp:lastPrinted>
  <dcterms:created xsi:type="dcterms:W3CDTF">2023-10-15T08:49:00Z</dcterms:created>
  <dcterms:modified xsi:type="dcterms:W3CDTF">2024-02-11T01:44:00Z</dcterms:modified>
  <dc:language>en-US</dc:language>
</cp:coreProperties>
</file>