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AF14" w14:textId="1AD92993" w:rsidR="0050059D" w:rsidRDefault="00150237" w:rsidP="003D0304">
      <w:pPr>
        <w:jc w:val="center"/>
        <w:rPr>
          <w:b/>
          <w:bCs/>
        </w:rPr>
      </w:pPr>
      <w:r>
        <w:rPr>
          <w:b/>
          <w:bCs/>
        </w:rPr>
        <w:t xml:space="preserve">Численное решение трехмерной задачи </w:t>
      </w:r>
      <w:r w:rsidR="0050059D">
        <w:rPr>
          <w:b/>
          <w:bCs/>
        </w:rPr>
        <w:t>сейсмоакустической поверхностно-волновой томографии с использованием полосчатого базиса</w:t>
      </w:r>
    </w:p>
    <w:p w14:paraId="332BC601" w14:textId="77777777" w:rsidR="00023329" w:rsidRPr="008C3583" w:rsidRDefault="00023329" w:rsidP="003D0304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Позднякова Д.Д.</w:t>
      </w:r>
      <w:r w:rsidRPr="00FF592E">
        <w:rPr>
          <w:rFonts w:ascii="Times New Roman" w:hAnsi="Times New Roman"/>
          <w:b/>
          <w:iCs/>
          <w:sz w:val="24"/>
          <w:szCs w:val="24"/>
          <w:vertAlign w:val="superscript"/>
        </w:rPr>
        <w:t>1</w:t>
      </w:r>
    </w:p>
    <w:p w14:paraId="7537499C" w14:textId="7942CEA0" w:rsidR="00FA2486" w:rsidRDefault="00FF592E" w:rsidP="003D0304">
      <w:pPr>
        <w:jc w:val="center"/>
        <w:rPr>
          <w:rStyle w:val="Emphasis"/>
          <w:color w:val="000000"/>
          <w:shd w:val="clear" w:color="auto" w:fill="FFFFFF"/>
        </w:rPr>
      </w:pPr>
      <w:r w:rsidRPr="00FF592E">
        <w:rPr>
          <w:rStyle w:val="Emphasis"/>
          <w:i w:val="0"/>
          <w:iCs w:val="0"/>
          <w:color w:val="000000"/>
          <w:shd w:val="clear" w:color="auto" w:fill="FFFFFF"/>
          <w:vertAlign w:val="superscript"/>
        </w:rPr>
        <w:t>1</w:t>
      </w:r>
      <w:r w:rsidR="00FA2486">
        <w:rPr>
          <w:rStyle w:val="Emphasis"/>
          <w:color w:val="000000"/>
          <w:shd w:val="clear" w:color="auto" w:fill="FFFFFF"/>
        </w:rPr>
        <w:t>студент</w:t>
      </w:r>
    </w:p>
    <w:p w14:paraId="650FE1F7" w14:textId="638891B4" w:rsidR="00FA2486" w:rsidRPr="00FA2486" w:rsidRDefault="00FA2486" w:rsidP="003D0304">
      <w:pPr>
        <w:spacing w:after="200"/>
        <w:jc w:val="center"/>
        <w:rPr>
          <w:rStyle w:val="Emphasis"/>
          <w:color w:val="000000"/>
          <w:shd w:val="clear" w:color="auto" w:fill="FFFFFF"/>
        </w:rPr>
      </w:pPr>
      <w:r>
        <w:rPr>
          <w:rStyle w:val="Emphasis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физический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Emphasis"/>
          <w:color w:val="000000"/>
          <w:shd w:val="clear" w:color="auto" w:fill="FFFFFF"/>
        </w:rPr>
        <w:t>E–mail</w:t>
      </w:r>
      <w:r>
        <w:rPr>
          <w:rStyle w:val="Emphasis"/>
          <w:i w:val="0"/>
          <w:color w:val="000000"/>
          <w:shd w:val="clear" w:color="auto" w:fill="FFFFFF"/>
        </w:rPr>
        <w:t>:</w:t>
      </w:r>
      <w:r w:rsidR="00201992" w:rsidRPr="00201992">
        <w:rPr>
          <w:rStyle w:val="Emphasis"/>
          <w:color w:val="000000"/>
          <w:shd w:val="clear" w:color="auto" w:fill="FFFFFF"/>
        </w:rPr>
        <w:t xml:space="preserve"> </w:t>
      </w:r>
      <w:r w:rsidR="00201992">
        <w:rPr>
          <w:rStyle w:val="Emphasis"/>
          <w:color w:val="000000"/>
          <w:shd w:val="clear" w:color="auto" w:fill="FFFFFF"/>
          <w:lang w:val="en-US"/>
        </w:rPr>
        <w:t>d</w:t>
      </w:r>
      <w:r w:rsidR="00201992" w:rsidRPr="00201992">
        <w:rPr>
          <w:rStyle w:val="Emphasis"/>
          <w:color w:val="000000"/>
          <w:shd w:val="clear" w:color="auto" w:fill="FFFFFF"/>
        </w:rPr>
        <w:t>_</w:t>
      </w:r>
      <w:r w:rsidR="00201992">
        <w:rPr>
          <w:rStyle w:val="Emphasis"/>
          <w:color w:val="000000"/>
          <w:shd w:val="clear" w:color="auto" w:fill="FFFFFF"/>
          <w:lang w:val="en-US"/>
        </w:rPr>
        <w:t>pozdnyakova</w:t>
      </w:r>
      <w:r w:rsidR="00201992" w:rsidRPr="00201992">
        <w:rPr>
          <w:rStyle w:val="Emphasis"/>
          <w:color w:val="000000"/>
          <w:shd w:val="clear" w:color="auto" w:fill="FFFFFF"/>
        </w:rPr>
        <w:t>@</w:t>
      </w:r>
      <w:r w:rsidR="00201992">
        <w:rPr>
          <w:rStyle w:val="Emphasis"/>
          <w:color w:val="000000"/>
          <w:shd w:val="clear" w:color="auto" w:fill="FFFFFF"/>
          <w:lang w:val="en-US"/>
        </w:rPr>
        <w:t>live</w:t>
      </w:r>
      <w:r>
        <w:rPr>
          <w:rStyle w:val="Emphasis"/>
          <w:color w:val="000000"/>
          <w:shd w:val="clear" w:color="auto" w:fill="FFFFFF"/>
        </w:rPr>
        <w:t>.</w:t>
      </w:r>
      <w:r>
        <w:rPr>
          <w:rStyle w:val="Emphasis"/>
          <w:color w:val="000000"/>
          <w:shd w:val="clear" w:color="auto" w:fill="FFFFFF"/>
          <w:lang w:val="en-US"/>
        </w:rPr>
        <w:t>ru</w:t>
      </w:r>
    </w:p>
    <w:p w14:paraId="090F7835" w14:textId="27E2592B" w:rsidR="00CD1655" w:rsidRDefault="00CD1655" w:rsidP="00CD1655">
      <w:pPr>
        <w:ind w:firstLine="567"/>
        <w:jc w:val="both"/>
      </w:pPr>
      <w:r>
        <w:t xml:space="preserve">Поверхностно-волновая томография </w:t>
      </w:r>
      <w:r w:rsidRPr="005540F2">
        <w:t>[1]</w:t>
      </w:r>
      <w:r>
        <w:t xml:space="preserve"> является перспективным методом исследования характеристик неоднородных геофизических сред. Обычно при реализации методов поверхностно-волновой томографии на первом этапе восстанавливаются двумерные </w:t>
      </w:r>
      <w:r w:rsidR="009763D2">
        <w:t xml:space="preserve">распределения </w:t>
      </w:r>
      <w:r>
        <w:t xml:space="preserve">фазовых или групповых скоростей </w:t>
      </w:r>
      <w:r w:rsidR="00150237">
        <w:t xml:space="preserve">поверхностных волн </w:t>
      </w:r>
      <w:r w:rsidR="009763D2">
        <w:t xml:space="preserve">на разных частотах. На следующем шаге полученные двумерные карты </w:t>
      </w:r>
      <w:r>
        <w:t>инвертируются в трехмерн</w:t>
      </w:r>
      <w:r w:rsidR="009763D2">
        <w:t>ые</w:t>
      </w:r>
      <w:r>
        <w:t xml:space="preserve"> распределени</w:t>
      </w:r>
      <w:r w:rsidR="007756FB">
        <w:t>я</w:t>
      </w:r>
      <w:r>
        <w:t xml:space="preserve"> параметров среды </w:t>
      </w:r>
      <w:r w:rsidRPr="00752110">
        <w:t>[2]</w:t>
      </w:r>
      <w:r>
        <w:t xml:space="preserve">. Отличительной особенностью рассматриваемой в настоящей работе томографической схемы является восстановление неоднородностей среды </w:t>
      </w:r>
      <w:r w:rsidR="009763D2">
        <w:t>без промежуточного</w:t>
      </w:r>
      <w:r>
        <w:t xml:space="preserve"> этап</w:t>
      </w:r>
      <w:r w:rsidR="009763D2">
        <w:t>а</w:t>
      </w:r>
      <w:r>
        <w:t xml:space="preserve"> реконструкции двумерных </w:t>
      </w:r>
      <w:r w:rsidR="001F2D14">
        <w:t>дисперсионных зависимостей</w:t>
      </w:r>
      <w:r>
        <w:t xml:space="preserve"> фазовых или групповых скоростей поверхностных волн. </w:t>
      </w:r>
    </w:p>
    <w:p w14:paraId="746AFA91" w14:textId="2AE47687" w:rsidR="00EA238A" w:rsidRDefault="001F2D14" w:rsidP="00EA238A">
      <w:pPr>
        <w:ind w:firstLine="567"/>
        <w:jc w:val="both"/>
      </w:pPr>
      <w:r>
        <w:t xml:space="preserve">При решении обратной </w:t>
      </w:r>
      <w:r w:rsidR="00464001">
        <w:t>задачи предполагается, что в исследуемой области и на ее границе расположены источники и приемники, возбуждающие и регистрирующие поверхностные волны. При этом различные направления распространения поверхностных волн достаточно плотно покрывают исследуемую область. В</w:t>
      </w:r>
      <w:r>
        <w:t xml:space="preserve">осстанавливаемые неоднородности среды раскладываются по базисным функциям. Вопросы выбора базиса при решении томографических задач ранее рассматривались </w:t>
      </w:r>
      <w:r w:rsidRPr="00A12AB8">
        <w:t>в [</w:t>
      </w:r>
      <w:r w:rsidR="00A12AB8" w:rsidRPr="00A12AB8">
        <w:t>3</w:t>
      </w:r>
      <w:r w:rsidRPr="00A12AB8">
        <w:t>].</w:t>
      </w:r>
      <w:r>
        <w:t xml:space="preserve"> К основным требованиям относятся полнота базиса в смысле </w:t>
      </w:r>
      <w:r w:rsidR="005A5A93">
        <w:t xml:space="preserve">возможности </w:t>
      </w:r>
      <w:r>
        <w:t xml:space="preserve">описания </w:t>
      </w:r>
      <w:r w:rsidR="005A5A93">
        <w:t xml:space="preserve">ожидаемых возмущений параметров среды, а также простота численной реализации решения обратной задачи. В настоящей работе используется полосчатый базис, ранее разработанный для восстановления параметров водной толщи океана </w:t>
      </w:r>
      <w:r w:rsidR="005A5A93" w:rsidRPr="00A12AB8">
        <w:t>[3].</w:t>
      </w:r>
      <w:r w:rsidR="005A5A93">
        <w:t xml:space="preserve"> </w:t>
      </w:r>
      <w:r w:rsidR="009763D2">
        <w:t>Предполагается</w:t>
      </w:r>
      <w:r w:rsidR="00B15737">
        <w:t xml:space="preserve">, </w:t>
      </w:r>
      <w:r w:rsidR="00B238D3" w:rsidRPr="004B37DB">
        <w:t xml:space="preserve">что наблюдаемые в </w:t>
      </w:r>
      <w:r w:rsidR="005A5A93" w:rsidRPr="004B37DB">
        <w:t>эксперименте</w:t>
      </w:r>
      <w:r w:rsidR="00B238D3" w:rsidRPr="004B37DB">
        <w:t xml:space="preserve"> возмущения времен распространений поверхностных волн представимы в виде линейной ко</w:t>
      </w:r>
      <w:r w:rsidR="005A5A93">
        <w:t>мбинации возмущений времен, выз</w:t>
      </w:r>
      <w:r w:rsidR="00B238D3" w:rsidRPr="004B37DB">
        <w:t>ванных базисными функциями</w:t>
      </w:r>
      <w:r w:rsidR="00EA238A">
        <w:t xml:space="preserve">. </w:t>
      </w:r>
      <w:r w:rsidR="00B238D3" w:rsidRPr="004B37DB">
        <w:t xml:space="preserve">Это позволяет построить систему линейных уравнений относительно неизвестных коэффициентов разложения искомых неоднородностей по базисным функциям, </w:t>
      </w:r>
      <w:r w:rsidR="0091799C">
        <w:t xml:space="preserve">при </w:t>
      </w:r>
      <w:r w:rsidR="00B238D3" w:rsidRPr="004B37DB">
        <w:t>решени</w:t>
      </w:r>
      <w:r w:rsidR="0091799C">
        <w:t>и</w:t>
      </w:r>
      <w:r w:rsidR="00B238D3" w:rsidRPr="004B37DB">
        <w:t xml:space="preserve"> которой </w:t>
      </w:r>
      <w:r w:rsidR="0091799C">
        <w:t>возможно</w:t>
      </w:r>
      <w:r w:rsidR="00B238D3" w:rsidRPr="004B37DB">
        <w:t xml:space="preserve"> восстановить трехмерные распределения параметров среды</w:t>
      </w:r>
      <w:r w:rsidR="00EA238A">
        <w:t xml:space="preserve">: </w:t>
      </w:r>
    </w:p>
    <w:p w14:paraId="4EC16396" w14:textId="1ADB764F" w:rsidR="00EA238A" w:rsidRPr="005A5A93" w:rsidRDefault="005A5A93" w:rsidP="005A5A93">
      <w:pPr>
        <w:spacing w:before="120" w:line="360" w:lineRule="auto"/>
        <w:ind w:firstLine="567"/>
        <w:jc w:val="right"/>
      </w:pPr>
      <w:r w:rsidRPr="005A5A93">
        <w:rPr>
          <w:position w:val="-10"/>
        </w:rPr>
        <w:object w:dxaOrig="1040" w:dyaOrig="320" w14:anchorId="70042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05pt;height:16.05pt" o:ole="">
            <v:imagedata r:id="rId8" o:title=""/>
          </v:shape>
          <o:OLEObject Type="Embed" ProgID="Equation.DSMT4" ShapeID="_x0000_i1025" DrawAspect="Content" ObjectID="_1769631386" r:id="rId9"/>
        </w:object>
      </w:r>
      <w:r w:rsidR="006F6649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0AE1DA30" w14:textId="2815FADF" w:rsidR="00EA238A" w:rsidRDefault="005A5A93" w:rsidP="0091799C">
      <w:pPr>
        <w:jc w:val="both"/>
      </w:pPr>
      <w:r>
        <w:t>г</w:t>
      </w:r>
      <w:r w:rsidR="00EA238A" w:rsidRPr="00EA238A">
        <w:t>де</w:t>
      </w:r>
      <w:r w:rsidRPr="005A5A93">
        <w:t xml:space="preserve"> </w:t>
      </w:r>
      <w:r w:rsidRPr="00B43D20">
        <w:rPr>
          <w:position w:val="-4"/>
        </w:rPr>
        <w:object w:dxaOrig="380" w:dyaOrig="260" w14:anchorId="4AF77CA8">
          <v:shape id="_x0000_i1026" type="#_x0000_t75" style="width:19.4pt;height:12.75pt" o:ole="">
            <v:imagedata r:id="rId10" o:title=""/>
          </v:shape>
          <o:OLEObject Type="Embed" ProgID="Equation.DSMT4" ShapeID="_x0000_i1026" DrawAspect="Content" ObjectID="_1769631387" r:id="rId11"/>
        </w:object>
      </w:r>
      <w:r w:rsidRPr="005A5A93">
        <w:t xml:space="preserve"> </w:t>
      </w:r>
      <w:r w:rsidR="00EA238A" w:rsidRPr="00EA238A">
        <w:t>– столбец времен возмущени</w:t>
      </w:r>
      <w:r w:rsidR="00464001">
        <w:t>й</w:t>
      </w:r>
      <w:r w:rsidRPr="005A5A93">
        <w:t xml:space="preserve"> </w:t>
      </w:r>
      <w:r w:rsidRPr="005A5A93">
        <w:rPr>
          <w:position w:val="-12"/>
        </w:rPr>
        <w:object w:dxaOrig="1120" w:dyaOrig="360" w14:anchorId="63C1F40B">
          <v:shape id="_x0000_i1027" type="#_x0000_t75" style="width:56.5pt;height:17.7pt" o:ole="">
            <v:imagedata r:id="rId12" o:title=""/>
          </v:shape>
          <o:OLEObject Type="Embed" ProgID="Equation.DSMT4" ShapeID="_x0000_i1027" DrawAspect="Content" ObjectID="_1769631388" r:id="rId13"/>
        </w:object>
      </w:r>
      <w:r w:rsidR="00EA238A" w:rsidRPr="00EA238A">
        <w:t xml:space="preserve">, </w:t>
      </w:r>
      <w:r w:rsidR="00EE4780" w:rsidRPr="00B43D20">
        <w:rPr>
          <w:position w:val="-12"/>
        </w:rPr>
        <w:object w:dxaOrig="180" w:dyaOrig="360" w14:anchorId="31C28110">
          <v:shape id="_x0000_i1028" type="#_x0000_t75" style="width:9.4pt;height:17.7pt" o:ole="">
            <v:imagedata r:id="rId14" o:title=""/>
          </v:shape>
          <o:OLEObject Type="Embed" ProgID="Equation.DSMT4" ShapeID="_x0000_i1028" DrawAspect="Content" ObjectID="_1769631389" r:id="rId15"/>
        </w:object>
      </w:r>
      <w:r w:rsidR="00EE4780">
        <w:t xml:space="preserve"> и </w:t>
      </w:r>
      <w:r w:rsidR="00EE4780" w:rsidRPr="00B43D20">
        <w:rPr>
          <w:position w:val="-12"/>
        </w:rPr>
        <w:object w:dxaOrig="260" w:dyaOrig="360" w14:anchorId="066E5595">
          <v:shape id="_x0000_i1029" type="#_x0000_t75" style="width:12.75pt;height:17.7pt" o:ole="">
            <v:imagedata r:id="rId16" o:title=""/>
          </v:shape>
          <o:OLEObject Type="Embed" ProgID="Equation.DSMT4" ShapeID="_x0000_i1029" DrawAspect="Content" ObjectID="_1769631390" r:id="rId17"/>
        </w:object>
      </w:r>
      <w:r w:rsidR="00EE4780" w:rsidRPr="00EE4780">
        <w:t xml:space="preserve"> – </w:t>
      </w:r>
      <w:r w:rsidR="00EE4780">
        <w:t xml:space="preserve">времена распространений поверхностной волны между </w:t>
      </w:r>
      <w:r w:rsidR="00EE4780" w:rsidRPr="00EE4780">
        <w:rPr>
          <w:position w:val="-6"/>
        </w:rPr>
        <w:object w:dxaOrig="139" w:dyaOrig="260" w14:anchorId="589B0D6D">
          <v:shape id="_x0000_i1030" type="#_x0000_t75" style="width:7.2pt;height:12.75pt" o:ole="">
            <v:imagedata r:id="rId18" o:title=""/>
          </v:shape>
          <o:OLEObject Type="Embed" ProgID="Equation.DSMT4" ShapeID="_x0000_i1030" DrawAspect="Content" ObjectID="_1769631391" r:id="rId19"/>
        </w:object>
      </w:r>
      <w:r w:rsidR="00EE4780" w:rsidRPr="00EE4780">
        <w:t>-</w:t>
      </w:r>
      <w:r w:rsidR="00EE4780">
        <w:t xml:space="preserve">ой парой источник-приемник в неоднородной среде и в известной фоновой среде, соответственно; </w:t>
      </w:r>
      <w:r w:rsidR="00675F8D" w:rsidRPr="00F05CFC">
        <w:rPr>
          <w:position w:val="-10"/>
        </w:rPr>
        <w:object w:dxaOrig="300" w:dyaOrig="320" w14:anchorId="7AA9DEA4">
          <v:shape id="_x0000_i1031" type="#_x0000_t75" style="width:14.95pt;height:16.05pt" o:ole="">
            <v:imagedata r:id="rId20" o:title=""/>
          </v:shape>
          <o:OLEObject Type="Embed" ProgID="Equation.DSMT4" ShapeID="_x0000_i1031" DrawAspect="Content" ObjectID="_1769631392" r:id="rId21"/>
        </w:object>
      </w:r>
      <w:r w:rsidR="00675F8D" w:rsidRPr="00F05CFC">
        <w:t>– матрица возмущений</w:t>
      </w:r>
      <w:r w:rsidR="00F05CFC" w:rsidRPr="00F05CFC">
        <w:t xml:space="preserve"> времен распространения поверхностных волн </w:t>
      </w:r>
      <w:r w:rsidR="0050116B">
        <w:t xml:space="preserve">между </w:t>
      </w:r>
      <w:r w:rsidR="0050116B" w:rsidRPr="00EE4780">
        <w:rPr>
          <w:position w:val="-6"/>
        </w:rPr>
        <w:object w:dxaOrig="139" w:dyaOrig="260" w14:anchorId="0F4368BE">
          <v:shape id="_x0000_i1032" type="#_x0000_t75" style="width:7.2pt;height:12.75pt" o:ole="">
            <v:imagedata r:id="rId18" o:title=""/>
          </v:shape>
          <o:OLEObject Type="Embed" ProgID="Equation.DSMT4" ShapeID="_x0000_i1032" DrawAspect="Content" ObjectID="_1769631393" r:id="rId22"/>
        </w:object>
      </w:r>
      <w:r w:rsidR="0050116B" w:rsidRPr="00EE4780">
        <w:t>-</w:t>
      </w:r>
      <w:r w:rsidR="0050116B">
        <w:t xml:space="preserve">ой парой источник-приемник </w:t>
      </w:r>
      <w:r w:rsidR="00F05CFC" w:rsidRPr="00F05CFC">
        <w:t xml:space="preserve">в среде с неоднородностью, </w:t>
      </w:r>
      <w:r w:rsidR="00F05CFC">
        <w:t xml:space="preserve">заданной </w:t>
      </w:r>
      <w:r w:rsidR="00F05CFC" w:rsidRPr="00F05CFC">
        <w:t>базисной функцией</w:t>
      </w:r>
      <w:r w:rsidR="0050116B">
        <w:t xml:space="preserve"> </w:t>
      </w:r>
      <w:r w:rsidR="0050116B" w:rsidRPr="00B43D20">
        <w:rPr>
          <w:position w:val="-14"/>
        </w:rPr>
        <w:object w:dxaOrig="580" w:dyaOrig="380" w14:anchorId="430CFEE2">
          <v:shape id="_x0000_i1033" type="#_x0000_t75" style="width:29.35pt;height:19.4pt" o:ole="">
            <v:imagedata r:id="rId23" o:title=""/>
          </v:shape>
          <o:OLEObject Type="Embed" ProgID="Equation.DSMT4" ShapeID="_x0000_i1033" DrawAspect="Content" ObjectID="_1769631394" r:id="rId24"/>
        </w:object>
      </w:r>
      <w:r w:rsidR="00675F8D" w:rsidRPr="00F05CFC">
        <w:t>;</w:t>
      </w:r>
      <w:r w:rsidR="00675F8D">
        <w:t xml:space="preserve"> </w:t>
      </w:r>
      <w:r w:rsidRPr="00B43D20">
        <w:rPr>
          <w:position w:val="-4"/>
        </w:rPr>
        <w:object w:dxaOrig="279" w:dyaOrig="260" w14:anchorId="59F1EB5D">
          <v:shape id="_x0000_i1034" type="#_x0000_t75" style="width:14.4pt;height:12.75pt" o:ole="">
            <v:imagedata r:id="rId25" o:title=""/>
          </v:shape>
          <o:OLEObject Type="Embed" ProgID="Equation.DSMT4" ShapeID="_x0000_i1034" DrawAspect="Content" ObjectID="_1769631395" r:id="rId26"/>
        </w:object>
      </w:r>
      <w:r>
        <w:t xml:space="preserve"> </w:t>
      </w:r>
      <w:r w:rsidR="00EA238A" w:rsidRPr="00EA238A">
        <w:t xml:space="preserve">– столбец коэффициентов разложения </w:t>
      </w:r>
      <w:r w:rsidR="00464001" w:rsidRPr="00464001">
        <w:rPr>
          <w:position w:val="-14"/>
        </w:rPr>
        <w:object w:dxaOrig="260" w:dyaOrig="380" w14:anchorId="305A79B9">
          <v:shape id="_x0000_i1035" type="#_x0000_t75" style="width:12.75pt;height:19.4pt" o:ole="">
            <v:imagedata r:id="rId27" o:title=""/>
          </v:shape>
          <o:OLEObject Type="Embed" ProgID="Equation.DSMT4" ShapeID="_x0000_i1035" DrawAspect="Content" ObjectID="_1769631396" r:id="rId28"/>
        </w:object>
      </w:r>
      <w:r w:rsidR="0050116B">
        <w:t xml:space="preserve"> </w:t>
      </w:r>
      <w:r w:rsidR="00EA238A" w:rsidRPr="00EA238A">
        <w:t xml:space="preserve">трехмерной неоднородности </w:t>
      </w:r>
      <w:r w:rsidR="00464001" w:rsidRPr="00B43D20">
        <w:rPr>
          <w:position w:val="-10"/>
        </w:rPr>
        <w:object w:dxaOrig="620" w:dyaOrig="320" w14:anchorId="5B85A117">
          <v:shape id="_x0000_i1036" type="#_x0000_t75" style="width:31pt;height:16.05pt" o:ole="">
            <v:imagedata r:id="rId29" o:title=""/>
          </v:shape>
          <o:OLEObject Type="Embed" ProgID="Equation.DSMT4" ShapeID="_x0000_i1036" DrawAspect="Content" ObjectID="_1769631397" r:id="rId30"/>
        </w:object>
      </w:r>
      <w:r w:rsidR="00464001" w:rsidRPr="00464001">
        <w:t xml:space="preserve"> </w:t>
      </w:r>
      <w:r w:rsidR="00EA238A" w:rsidRPr="00EA238A">
        <w:t xml:space="preserve">по базисным функциям </w:t>
      </w:r>
      <w:r w:rsidR="00464001" w:rsidRPr="00B43D20">
        <w:rPr>
          <w:position w:val="-14"/>
        </w:rPr>
        <w:object w:dxaOrig="580" w:dyaOrig="380" w14:anchorId="0C94F4B5">
          <v:shape id="_x0000_i1037" type="#_x0000_t75" style="width:29.35pt;height:19.4pt" o:ole="">
            <v:imagedata r:id="rId23" o:title=""/>
          </v:shape>
          <o:OLEObject Type="Embed" ProgID="Equation.DSMT4" ShapeID="_x0000_i1037" DrawAspect="Content" ObjectID="_1769631398" r:id="rId31"/>
        </w:object>
      </w:r>
      <w:r w:rsidR="00EA238A" w:rsidRPr="00EA238A">
        <w:t>:</w:t>
      </w:r>
    </w:p>
    <w:p w14:paraId="7473D67C" w14:textId="109C3E94" w:rsidR="00464001" w:rsidRPr="00EA238A" w:rsidRDefault="00457440" w:rsidP="00457440">
      <w:pPr>
        <w:jc w:val="right"/>
      </w:pPr>
      <w:r w:rsidRPr="00464001">
        <w:rPr>
          <w:position w:val="-30"/>
        </w:rPr>
        <w:object w:dxaOrig="1880" w:dyaOrig="700" w14:anchorId="560DA3A1">
          <v:shape id="_x0000_i1038" type="#_x0000_t75" style="width:94.15pt;height:34.9pt" o:ole="">
            <v:imagedata r:id="rId32" o:title=""/>
          </v:shape>
          <o:OLEObject Type="Embed" ProgID="Equation.DSMT4" ShapeID="_x0000_i1038" DrawAspect="Content" ObjectID="_1769631399" r:id="rId3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457440">
        <w:t>2</w:t>
      </w:r>
      <w:r>
        <w:t>)</w:t>
      </w:r>
    </w:p>
    <w:p w14:paraId="63DECF7E" w14:textId="7F0062DC" w:rsidR="00EA238A" w:rsidRDefault="00457440" w:rsidP="0091799C">
      <w:pPr>
        <w:jc w:val="both"/>
      </w:pPr>
      <w:r>
        <w:t xml:space="preserve">Нахождение неизвестных коэффициентов разложения </w:t>
      </w:r>
      <w:r w:rsidRPr="00464001">
        <w:rPr>
          <w:position w:val="-14"/>
        </w:rPr>
        <w:object w:dxaOrig="260" w:dyaOrig="380" w14:anchorId="2C116D49">
          <v:shape id="_x0000_i1039" type="#_x0000_t75" style="width:12.75pt;height:19.4pt" o:ole="">
            <v:imagedata r:id="rId27" o:title=""/>
          </v:shape>
          <o:OLEObject Type="Embed" ProgID="Equation.DSMT4" ShapeID="_x0000_i1039" DrawAspect="Content" ObjectID="_1769631400" r:id="rId34"/>
        </w:object>
      </w:r>
      <w:r>
        <w:t xml:space="preserve"> из решения системы (1) позволяет на основе (2) получить оценку искомого трехмерного распределения </w:t>
      </w:r>
      <w:r w:rsidRPr="00B43D20">
        <w:rPr>
          <w:position w:val="-10"/>
        </w:rPr>
        <w:object w:dxaOrig="620" w:dyaOrig="320" w14:anchorId="7F6C216D">
          <v:shape id="_x0000_i1040" type="#_x0000_t75" style="width:31pt;height:16.05pt" o:ole="">
            <v:imagedata r:id="rId35" o:title=""/>
          </v:shape>
          <o:OLEObject Type="Embed" ProgID="Equation.DSMT4" ShapeID="_x0000_i1040" DrawAspect="Content" ObjectID="_1769631401" r:id="rId36"/>
        </w:object>
      </w:r>
      <w:r>
        <w:t xml:space="preserve">. </w:t>
      </w:r>
      <w:r w:rsidR="00CD1655">
        <w:t xml:space="preserve">В </w:t>
      </w:r>
      <w:r>
        <w:t xml:space="preserve">настоящей </w:t>
      </w:r>
      <w:r w:rsidR="00CD1655">
        <w:t xml:space="preserve">работе показано, что </w:t>
      </w:r>
      <w:r>
        <w:t>используемое при построении (1) линейное</w:t>
      </w:r>
      <w:r w:rsidR="00CD1655">
        <w:t xml:space="preserve"> приближение выполняется для параметров среды, соответствующих реальным неоднородностям. </w:t>
      </w:r>
    </w:p>
    <w:p w14:paraId="11C8F192" w14:textId="65F27E84" w:rsidR="00EA238A" w:rsidRDefault="00CD1655" w:rsidP="00EA238A">
      <w:pPr>
        <w:ind w:firstLine="567"/>
        <w:jc w:val="both"/>
      </w:pPr>
      <w:r>
        <w:t xml:space="preserve">При </w:t>
      </w:r>
      <w:r w:rsidR="00457440">
        <w:t>численном моделировании</w:t>
      </w:r>
      <w:r>
        <w:t xml:space="preserve"> исследуемая область разбивается по глубине на слои с постоянными характеристиками. В каждом слое неоднородности представляются в виде суммы базистных функций с неизвестными коэффициентами разложения. </w:t>
      </w:r>
      <w:r w:rsidR="00675F8D">
        <w:t xml:space="preserve">В данной </w:t>
      </w:r>
      <w:r w:rsidR="00675F8D">
        <w:lastRenderedPageBreak/>
        <w:t xml:space="preserve">работе </w:t>
      </w:r>
      <w:r w:rsidR="00EA238A">
        <w:t>р</w:t>
      </w:r>
      <w:r w:rsidR="00EA238A" w:rsidRPr="00AF123D">
        <w:t>ассматривается</w:t>
      </w:r>
      <w:r w:rsidR="00EA238A">
        <w:t xml:space="preserve"> модель литосферы Тихого океана (зависимость скорости поперечных волн в слое от глубины), представленная в </w:t>
      </w:r>
      <w:r w:rsidR="00EA238A" w:rsidRPr="00FD7067">
        <w:t>[</w:t>
      </w:r>
      <w:r w:rsidR="00EA238A">
        <w:t>2</w:t>
      </w:r>
      <w:r w:rsidR="00EA238A" w:rsidRPr="00FD7067">
        <w:t>]</w:t>
      </w:r>
      <w:r w:rsidR="00EA238A">
        <w:t xml:space="preserve">. Она </w:t>
      </w:r>
      <w:r w:rsidR="00EA238A" w:rsidRPr="00AF123D">
        <w:t>состо</w:t>
      </w:r>
      <w:r w:rsidR="00EA238A">
        <w:t>ит</w:t>
      </w:r>
      <w:r w:rsidR="00EA238A" w:rsidRPr="00AF123D">
        <w:t xml:space="preserve"> из </w:t>
      </w:r>
      <w:r w:rsidR="00EA238A">
        <w:t>15</w:t>
      </w:r>
      <w:r w:rsidR="00EA238A" w:rsidRPr="00AF123D">
        <w:t xml:space="preserve"> слоев, толщина </w:t>
      </w:r>
      <w:r w:rsidR="00EA238A">
        <w:t>которых</w:t>
      </w:r>
      <w:r w:rsidR="00EA238A" w:rsidRPr="00AF123D">
        <w:t xml:space="preserve"> растет </w:t>
      </w:r>
      <w:r w:rsidR="00EA238A">
        <w:t>с</w:t>
      </w:r>
      <w:r w:rsidR="00EA238A" w:rsidRPr="00AF123D">
        <w:t xml:space="preserve"> увеличени</w:t>
      </w:r>
      <w:r w:rsidR="00EA238A">
        <w:t>ем</w:t>
      </w:r>
      <w:r w:rsidR="00EA238A" w:rsidRPr="00AF123D">
        <w:t xml:space="preserve"> глубины. В каждом слое задается 120 базисных элементов: 8 полос и 15 углов поворота. Используются данные от 328 пар источник-приемник на 16 частотах </w:t>
      </w:r>
      <w:r w:rsidR="00EA238A">
        <w:t>в диапазоне 0.02–0.07 Гц, в котором регистрируемые поверхностные волны наиболее чувствительны к изменению характеристик дна океана в исследуемом регионе.</w:t>
      </w:r>
      <w:r w:rsidR="00457440">
        <w:t xml:space="preserve"> Сама неоднородность представля</w:t>
      </w:r>
      <w:r w:rsidR="004C5002">
        <w:t>ет</w:t>
      </w:r>
      <w:r w:rsidR="00457440">
        <w:t xml:space="preserve"> собой эллипс, максимальное возмущение скорости в котором составля</w:t>
      </w:r>
      <w:r w:rsidR="004C5002">
        <w:t>ет</w:t>
      </w:r>
      <w:r w:rsidR="00457440">
        <w:t xml:space="preserve"> 5% от фонового значения. Результаты численного моделирования представлены на рис. 1, где видно, что форма неоднородности, ее локализация и амплитудные значения восстановлены с приемлемой точностью.</w:t>
      </w:r>
    </w:p>
    <w:p w14:paraId="31833BC2" w14:textId="22EC74FB" w:rsidR="00CD1655" w:rsidRDefault="00CD1655" w:rsidP="00DA1D75">
      <w:pPr>
        <w:ind w:firstLine="567"/>
        <w:jc w:val="both"/>
      </w:pPr>
      <w:r>
        <w:t xml:space="preserve">К особенностям </w:t>
      </w:r>
      <w:r w:rsidR="006F6649">
        <w:t>обсуждаемой</w:t>
      </w:r>
      <w:r>
        <w:t xml:space="preserve"> схемы можно отнести учет гладкости восстанавливаемых функций по глубине, </w:t>
      </w:r>
      <w:r w:rsidR="006F6649">
        <w:t>что обеспечивает дополнительную регуляризацию решения системы (1). Т</w:t>
      </w:r>
      <w:r>
        <w:t xml:space="preserve">акже </w:t>
      </w:r>
      <w:r w:rsidR="006F6649">
        <w:t xml:space="preserve">осуществляется </w:t>
      </w:r>
      <w:r>
        <w:t xml:space="preserve">учет фиксированного количества слоев при </w:t>
      </w:r>
      <w:r w:rsidR="006F6649">
        <w:t>использовании различных частот, это определяется разрешающей способностью развиваемого подхода по глубине.</w:t>
      </w:r>
    </w:p>
    <w:p w14:paraId="68E67F1C" w14:textId="77777777" w:rsidR="00EA238A" w:rsidRDefault="00EA238A" w:rsidP="00DA1D75">
      <w:pPr>
        <w:ind w:firstLine="567"/>
        <w:jc w:val="both"/>
      </w:pPr>
    </w:p>
    <w:p w14:paraId="4732992B" w14:textId="2919D8FE" w:rsidR="00EA238A" w:rsidRPr="00B35B8C" w:rsidRDefault="00B35B8C" w:rsidP="00B35B8C">
      <w:pPr>
        <w:jc w:val="both"/>
      </w:pPr>
      <w:r w:rsidRPr="00B35B8C">
        <w:rPr>
          <w:noProof/>
        </w:rPr>
        <w:drawing>
          <wp:inline distT="0" distB="0" distL="0" distR="0" wp14:anchorId="328D5807" wp14:editId="439AEA43">
            <wp:extent cx="5831840" cy="2481580"/>
            <wp:effectExtent l="0" t="0" r="0" b="0"/>
            <wp:docPr id="101703567" name="Picture 1" descr="A graph of a graph showing a diagram of a s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3567" name="Picture 1" descr="A graph of a graph showing a diagram of a star&#10;&#10;Description automatically generated with medium confidence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5B8C">
        <w:t xml:space="preserve"> </w:t>
      </w:r>
    </w:p>
    <w:p w14:paraId="36F1E08A" w14:textId="77777777" w:rsidR="00EA238A" w:rsidRDefault="00EA238A" w:rsidP="00DA1D75">
      <w:pPr>
        <w:ind w:firstLine="567"/>
        <w:jc w:val="both"/>
      </w:pPr>
    </w:p>
    <w:p w14:paraId="46A78DA5" w14:textId="2A290EA2" w:rsidR="00EA238A" w:rsidRPr="00B35B8C" w:rsidRDefault="00B35B8C" w:rsidP="00DA1D75">
      <w:pPr>
        <w:ind w:firstLine="567"/>
        <w:jc w:val="both"/>
        <w:rPr>
          <w:b/>
          <w:bCs/>
          <w:color w:val="000000"/>
        </w:rPr>
      </w:pPr>
      <w:r w:rsidRPr="00B35B8C">
        <w:rPr>
          <w:b/>
          <w:bCs/>
          <w:i/>
          <w:iCs/>
          <w:color w:val="000000"/>
        </w:rPr>
        <w:t>Рис. 1</w:t>
      </w:r>
      <w:r>
        <w:rPr>
          <w:b/>
          <w:bCs/>
          <w:i/>
          <w:iCs/>
          <w:color w:val="000000"/>
        </w:rPr>
        <w:t xml:space="preserve">. </w:t>
      </w:r>
      <w:r w:rsidRPr="00B35B8C">
        <w:rPr>
          <w:b/>
          <w:bCs/>
          <w:color w:val="000000"/>
        </w:rPr>
        <w:t xml:space="preserve">а) </w:t>
      </w:r>
      <w:r w:rsidRPr="00B35B8C">
        <w:rPr>
          <w:color w:val="000000"/>
        </w:rPr>
        <w:t>Заданная слоистая среда</w:t>
      </w:r>
      <w:r w:rsidR="00D81289">
        <w:rPr>
          <w:b/>
          <w:bCs/>
          <w:color w:val="000000"/>
        </w:rPr>
        <w:t xml:space="preserve"> </w:t>
      </w:r>
      <w:r w:rsidR="00D81289">
        <w:rPr>
          <w:color w:val="000000"/>
        </w:rPr>
        <w:t xml:space="preserve">с </w:t>
      </w:r>
      <w:r w:rsidR="00457440">
        <w:rPr>
          <w:color w:val="000000"/>
        </w:rPr>
        <w:t xml:space="preserve">максимальным </w:t>
      </w:r>
      <w:r w:rsidRPr="00B35B8C">
        <w:rPr>
          <w:color w:val="000000"/>
        </w:rPr>
        <w:t>возмущение</w:t>
      </w:r>
      <w:r w:rsidR="00D81289">
        <w:rPr>
          <w:color w:val="000000"/>
        </w:rPr>
        <w:t>м</w:t>
      </w:r>
      <w:r w:rsidRPr="00B35B8C">
        <w:rPr>
          <w:color w:val="000000"/>
        </w:rPr>
        <w:t xml:space="preserve"> </w:t>
      </w:r>
      <w:r w:rsidR="00457440">
        <w:rPr>
          <w:color w:val="000000"/>
        </w:rPr>
        <w:t>скорости поперечных волн</w:t>
      </w:r>
      <w:r w:rsidRPr="00D81289">
        <w:rPr>
          <w:color w:val="000000"/>
        </w:rPr>
        <w:t>, равн</w:t>
      </w:r>
      <w:r w:rsidR="00D81289">
        <w:rPr>
          <w:color w:val="000000"/>
        </w:rPr>
        <w:t>ым</w:t>
      </w:r>
      <w:r w:rsidRPr="00B35B8C">
        <w:rPr>
          <w:color w:val="000000"/>
        </w:rPr>
        <w:t xml:space="preserve"> 5% от </w:t>
      </w:r>
      <w:r w:rsidR="00457440">
        <w:rPr>
          <w:color w:val="000000"/>
        </w:rPr>
        <w:t>значения</w:t>
      </w:r>
      <w:r w:rsidRPr="00B35B8C">
        <w:rPr>
          <w:color w:val="000000"/>
        </w:rPr>
        <w:t xml:space="preserve"> в невозмущенной среде</w:t>
      </w:r>
      <w:r>
        <w:rPr>
          <w:color w:val="000000"/>
        </w:rPr>
        <w:t>;</w:t>
      </w:r>
      <w:r w:rsidRPr="00B35B8C">
        <w:rPr>
          <w:color w:val="000000"/>
        </w:rPr>
        <w:t xml:space="preserve"> </w:t>
      </w:r>
      <w:r w:rsidRPr="00B35B8C">
        <w:rPr>
          <w:b/>
          <w:bCs/>
          <w:color w:val="000000"/>
        </w:rPr>
        <w:t>б)</w:t>
      </w:r>
      <w:r w:rsidR="00D81289">
        <w:rPr>
          <w:b/>
          <w:bCs/>
          <w:color w:val="000000"/>
        </w:rPr>
        <w:t xml:space="preserve"> </w:t>
      </w:r>
      <w:r w:rsidR="00457440">
        <w:rPr>
          <w:color w:val="000000"/>
        </w:rPr>
        <w:t>в</w:t>
      </w:r>
      <w:r w:rsidR="00D81289" w:rsidRPr="00D81289">
        <w:rPr>
          <w:color w:val="000000"/>
        </w:rPr>
        <w:t>осстановленная слоистая среда</w:t>
      </w:r>
      <w:r w:rsidR="00D81289">
        <w:rPr>
          <w:color w:val="000000"/>
        </w:rPr>
        <w:t>.</w:t>
      </w:r>
    </w:p>
    <w:p w14:paraId="101D011B" w14:textId="77777777" w:rsidR="00B35B8C" w:rsidRPr="00B35B8C" w:rsidRDefault="00B35B8C" w:rsidP="00DA1D75">
      <w:pPr>
        <w:ind w:firstLine="567"/>
        <w:jc w:val="both"/>
      </w:pPr>
    </w:p>
    <w:p w14:paraId="7F5DF412" w14:textId="38053E32" w:rsidR="00FD7067" w:rsidRPr="00B35B8C" w:rsidRDefault="00FD7067" w:rsidP="00FD7067">
      <w:pPr>
        <w:ind w:firstLine="567"/>
        <w:jc w:val="both"/>
      </w:pPr>
      <w:r w:rsidRPr="00B35B8C">
        <w:t xml:space="preserve">Полученные в ходе проведенного исследования результаты численного моделирования указывают на работоспособность </w:t>
      </w:r>
      <w:r w:rsidR="006F6649">
        <w:t>построенной трехмерной схемы поверхностно-волновой томографии</w:t>
      </w:r>
      <w:r w:rsidRPr="00B35B8C">
        <w:t xml:space="preserve">. Предполагается, что в будущем данный метод </w:t>
      </w:r>
      <w:r w:rsidR="006F6649">
        <w:t>может лечь в основу совместного</w:t>
      </w:r>
      <w:r w:rsidRPr="00B35B8C">
        <w:t xml:space="preserve"> </w:t>
      </w:r>
      <w:r w:rsidR="006F6649">
        <w:t xml:space="preserve">восстановления параметров </w:t>
      </w:r>
      <w:r w:rsidRPr="00B35B8C">
        <w:t xml:space="preserve">водной толщи </w:t>
      </w:r>
      <w:r w:rsidR="006F6649" w:rsidRPr="00B35B8C">
        <w:t xml:space="preserve">и дна </w:t>
      </w:r>
      <w:r w:rsidRPr="00B35B8C">
        <w:t>океана, в том числе в рамках пассивной сейсмоакустической томографии.</w:t>
      </w:r>
    </w:p>
    <w:p w14:paraId="76A6EA1E" w14:textId="645091A8" w:rsidR="00CD1655" w:rsidRDefault="006F6649" w:rsidP="004C5002">
      <w:pPr>
        <w:ind w:firstLine="567"/>
        <w:jc w:val="both"/>
      </w:pPr>
      <w:r w:rsidRPr="006F6649">
        <w:t xml:space="preserve">Исследование выполнено </w:t>
      </w:r>
      <w:r>
        <w:t>при поддержке</w:t>
      </w:r>
      <w:r w:rsidRPr="006F6649">
        <w:t xml:space="preserve"> гранта </w:t>
      </w:r>
      <w:r>
        <w:t xml:space="preserve">РНФ </w:t>
      </w:r>
      <w:r w:rsidRPr="006F6649">
        <w:t>№ 22-77-00067.</w:t>
      </w:r>
    </w:p>
    <w:p w14:paraId="16C30964" w14:textId="77777777" w:rsidR="004C5002" w:rsidRPr="004C5002" w:rsidRDefault="004C5002" w:rsidP="004C5002">
      <w:pPr>
        <w:ind w:firstLine="567"/>
        <w:jc w:val="both"/>
      </w:pPr>
    </w:p>
    <w:p w14:paraId="755809B2" w14:textId="4C0E89E9" w:rsidR="004C5002" w:rsidRPr="004C5002" w:rsidRDefault="00FD7067" w:rsidP="006C46DB">
      <w:pPr>
        <w:pStyle w:val="NoSpacing"/>
        <w:jc w:val="center"/>
        <w:rPr>
          <w:rFonts w:ascii="Times New Roman" w:hAnsi="Times New Roman"/>
          <w:b/>
          <w:iCs/>
          <w:sz w:val="24"/>
          <w:szCs w:val="24"/>
        </w:rPr>
      </w:pPr>
      <w:r w:rsidRPr="00FD7067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14:paraId="295FFC4A" w14:textId="77777777" w:rsidR="00CD1655" w:rsidRPr="005A5A93" w:rsidRDefault="00CD1655" w:rsidP="00582F33">
      <w:pPr>
        <w:pStyle w:val="ListParagraph"/>
        <w:numPr>
          <w:ilvl w:val="0"/>
          <w:numId w:val="8"/>
        </w:numPr>
        <w:jc w:val="both"/>
        <w:rPr>
          <w:iCs/>
        </w:rPr>
      </w:pPr>
      <w:r w:rsidRPr="005A5A93">
        <w:rPr>
          <w:iCs/>
        </w:rPr>
        <w:t xml:space="preserve">Яновская Т.Б. </w:t>
      </w:r>
      <w:r w:rsidRPr="005A5A93">
        <w:t>Поверхностно-волновая томография в сейсмологических исследованиях. СПб.: Наука, 2015.</w:t>
      </w:r>
    </w:p>
    <w:p w14:paraId="625E6E43" w14:textId="77777777" w:rsidR="00CD1655" w:rsidRPr="005A5A93" w:rsidRDefault="00CD1655" w:rsidP="00582F33">
      <w:pPr>
        <w:pStyle w:val="ListParagraph"/>
        <w:numPr>
          <w:ilvl w:val="0"/>
          <w:numId w:val="8"/>
        </w:numPr>
        <w:jc w:val="both"/>
      </w:pPr>
      <w:r w:rsidRPr="005A5A93">
        <w:rPr>
          <w:iCs/>
        </w:rPr>
        <w:t xml:space="preserve">Тихоцкий С. А., Преснов Д.А., Собисевич А.Л., Шуруп А.С. </w:t>
      </w:r>
      <w:r w:rsidRPr="005A5A93">
        <w:t>Использование низкочастотных шумов в пассивной сейсмоакустической томографии дна океана // Акуст. журн. 2021. Т. 67. № 1. С. 107-116.</w:t>
      </w:r>
    </w:p>
    <w:p w14:paraId="1239AB7D" w14:textId="1CFFC2A8" w:rsidR="006F6649" w:rsidRPr="00BC3C93" w:rsidRDefault="00CD1655" w:rsidP="006F6649">
      <w:pPr>
        <w:pStyle w:val="ListParagraph"/>
        <w:numPr>
          <w:ilvl w:val="0"/>
          <w:numId w:val="8"/>
        </w:numPr>
        <w:jc w:val="both"/>
      </w:pPr>
      <w:r w:rsidRPr="005A5A93">
        <w:rPr>
          <w:iCs/>
        </w:rPr>
        <w:t>Буров В.А., Сергеев С.Н., Шуруп А.С.</w:t>
      </w:r>
      <w:r w:rsidRPr="005A5A93">
        <w:t xml:space="preserve"> Трехмерная модель томографического восстановления океанических неоднородностей при неизвестном расположении антенн //</w:t>
      </w:r>
      <w:r>
        <w:t xml:space="preserve"> </w:t>
      </w:r>
      <w:r w:rsidRPr="00D525B6">
        <w:t>Акуст</w:t>
      </w:r>
      <w:r>
        <w:t>.</w:t>
      </w:r>
      <w:r w:rsidRPr="00D525B6">
        <w:t xml:space="preserve"> журн.</w:t>
      </w:r>
      <w:r>
        <w:t xml:space="preserve"> </w:t>
      </w:r>
      <w:r w:rsidRPr="00D525B6">
        <w:t>2021.</w:t>
      </w:r>
      <w:r>
        <w:t xml:space="preserve"> </w:t>
      </w:r>
      <w:r w:rsidRPr="00235AC2">
        <w:t xml:space="preserve">2011. Т. 57. </w:t>
      </w:r>
      <w:r>
        <w:t xml:space="preserve">№ </w:t>
      </w:r>
      <w:r w:rsidRPr="00235AC2">
        <w:t>3. С.</w:t>
      </w:r>
      <w:r>
        <w:t xml:space="preserve"> </w:t>
      </w:r>
      <w:r w:rsidRPr="00AE6460">
        <w:t>348-363.</w:t>
      </w:r>
    </w:p>
    <w:sectPr w:rsidR="006F6649" w:rsidRPr="00BC3C93" w:rsidSect="007421FC">
      <w:footerReference w:type="even" r:id="rId38"/>
      <w:footerReference w:type="default" r:id="rId39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ACCB" w14:textId="77777777" w:rsidR="007421FC" w:rsidRDefault="007421FC">
      <w:r>
        <w:separator/>
      </w:r>
    </w:p>
  </w:endnote>
  <w:endnote w:type="continuationSeparator" w:id="0">
    <w:p w14:paraId="27BB3035" w14:textId="77777777" w:rsidR="007421FC" w:rsidRDefault="0074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8F396" w14:textId="77777777"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0D88" w14:textId="77777777" w:rsidR="007421FC" w:rsidRDefault="007421FC">
      <w:r>
        <w:separator/>
      </w:r>
    </w:p>
  </w:footnote>
  <w:footnote w:type="continuationSeparator" w:id="0">
    <w:p w14:paraId="0C2E06CE" w14:textId="77777777" w:rsidR="007421FC" w:rsidRDefault="0074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BF250F"/>
    <w:multiLevelType w:val="hybridMultilevel"/>
    <w:tmpl w:val="E3D87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27384"/>
    <w:multiLevelType w:val="multilevel"/>
    <w:tmpl w:val="B04E2C8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0" w:hanging="180"/>
      </w:pPr>
    </w:lvl>
  </w:abstractNum>
  <w:num w:numId="1" w16cid:durableId="1150365022">
    <w:abstractNumId w:val="5"/>
  </w:num>
  <w:num w:numId="2" w16cid:durableId="876158497">
    <w:abstractNumId w:val="6"/>
  </w:num>
  <w:num w:numId="3" w16cid:durableId="392853695">
    <w:abstractNumId w:val="4"/>
  </w:num>
  <w:num w:numId="4" w16cid:durableId="1571651541">
    <w:abstractNumId w:val="2"/>
  </w:num>
  <w:num w:numId="5" w16cid:durableId="1838418789">
    <w:abstractNumId w:val="3"/>
  </w:num>
  <w:num w:numId="6" w16cid:durableId="186069218">
    <w:abstractNumId w:val="0"/>
  </w:num>
  <w:num w:numId="7" w16cid:durableId="1181510201">
    <w:abstractNumId w:val="7"/>
  </w:num>
  <w:num w:numId="8" w16cid:durableId="197047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5"/>
    <w:rsid w:val="00011E41"/>
    <w:rsid w:val="00023329"/>
    <w:rsid w:val="00041583"/>
    <w:rsid w:val="00057723"/>
    <w:rsid w:val="00065FE0"/>
    <w:rsid w:val="00073747"/>
    <w:rsid w:val="00082FB2"/>
    <w:rsid w:val="000835CA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0237"/>
    <w:rsid w:val="001560FA"/>
    <w:rsid w:val="00191B00"/>
    <w:rsid w:val="001942D4"/>
    <w:rsid w:val="001C314D"/>
    <w:rsid w:val="001C34DE"/>
    <w:rsid w:val="001C65A7"/>
    <w:rsid w:val="001E73E7"/>
    <w:rsid w:val="001F2D14"/>
    <w:rsid w:val="00201992"/>
    <w:rsid w:val="00203945"/>
    <w:rsid w:val="00205D23"/>
    <w:rsid w:val="002522CA"/>
    <w:rsid w:val="002700F0"/>
    <w:rsid w:val="00295798"/>
    <w:rsid w:val="002C3296"/>
    <w:rsid w:val="002C5445"/>
    <w:rsid w:val="002D0661"/>
    <w:rsid w:val="003134BF"/>
    <w:rsid w:val="00314C9E"/>
    <w:rsid w:val="00320553"/>
    <w:rsid w:val="0034624D"/>
    <w:rsid w:val="0035344B"/>
    <w:rsid w:val="0035677A"/>
    <w:rsid w:val="0036078F"/>
    <w:rsid w:val="00372B30"/>
    <w:rsid w:val="00376994"/>
    <w:rsid w:val="00387196"/>
    <w:rsid w:val="003A1889"/>
    <w:rsid w:val="003A5D10"/>
    <w:rsid w:val="003A7D50"/>
    <w:rsid w:val="003B0219"/>
    <w:rsid w:val="003C665C"/>
    <w:rsid w:val="003D0304"/>
    <w:rsid w:val="0040718C"/>
    <w:rsid w:val="00412D4B"/>
    <w:rsid w:val="00442D0A"/>
    <w:rsid w:val="00457440"/>
    <w:rsid w:val="00461070"/>
    <w:rsid w:val="00464001"/>
    <w:rsid w:val="00471C89"/>
    <w:rsid w:val="004774A3"/>
    <w:rsid w:val="00486049"/>
    <w:rsid w:val="004B37DB"/>
    <w:rsid w:val="004B4986"/>
    <w:rsid w:val="004C1B51"/>
    <w:rsid w:val="004C5002"/>
    <w:rsid w:val="004F0E58"/>
    <w:rsid w:val="004F3B26"/>
    <w:rsid w:val="0050059D"/>
    <w:rsid w:val="0050116B"/>
    <w:rsid w:val="00522F93"/>
    <w:rsid w:val="00534B70"/>
    <w:rsid w:val="00536E00"/>
    <w:rsid w:val="005656FA"/>
    <w:rsid w:val="00567E13"/>
    <w:rsid w:val="00582F33"/>
    <w:rsid w:val="00585FDB"/>
    <w:rsid w:val="005A0ADD"/>
    <w:rsid w:val="005A5A93"/>
    <w:rsid w:val="005B478A"/>
    <w:rsid w:val="005C1810"/>
    <w:rsid w:val="005C5F32"/>
    <w:rsid w:val="005D5DC8"/>
    <w:rsid w:val="005E4425"/>
    <w:rsid w:val="005E788B"/>
    <w:rsid w:val="005F4736"/>
    <w:rsid w:val="00604F95"/>
    <w:rsid w:val="00613B5D"/>
    <w:rsid w:val="00623A05"/>
    <w:rsid w:val="00630801"/>
    <w:rsid w:val="006349CB"/>
    <w:rsid w:val="0065799F"/>
    <w:rsid w:val="00665540"/>
    <w:rsid w:val="00675F8D"/>
    <w:rsid w:val="00684521"/>
    <w:rsid w:val="00691213"/>
    <w:rsid w:val="006C46DB"/>
    <w:rsid w:val="006C6C75"/>
    <w:rsid w:val="006D39CB"/>
    <w:rsid w:val="006E2A0B"/>
    <w:rsid w:val="006F21F0"/>
    <w:rsid w:val="006F6649"/>
    <w:rsid w:val="007035FB"/>
    <w:rsid w:val="00704E39"/>
    <w:rsid w:val="0071479B"/>
    <w:rsid w:val="00726440"/>
    <w:rsid w:val="007421FC"/>
    <w:rsid w:val="007533AC"/>
    <w:rsid w:val="00763BEC"/>
    <w:rsid w:val="007756FB"/>
    <w:rsid w:val="0078361D"/>
    <w:rsid w:val="007B0060"/>
    <w:rsid w:val="007B012F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E6318"/>
    <w:rsid w:val="008F41D2"/>
    <w:rsid w:val="008F5B75"/>
    <w:rsid w:val="00904BA7"/>
    <w:rsid w:val="0091799C"/>
    <w:rsid w:val="00925138"/>
    <w:rsid w:val="00960060"/>
    <w:rsid w:val="009654CD"/>
    <w:rsid w:val="00971DA1"/>
    <w:rsid w:val="009763D2"/>
    <w:rsid w:val="00996C39"/>
    <w:rsid w:val="009C6D9B"/>
    <w:rsid w:val="009F1B7E"/>
    <w:rsid w:val="009F3AFE"/>
    <w:rsid w:val="00A12AB8"/>
    <w:rsid w:val="00A318C8"/>
    <w:rsid w:val="00AD4300"/>
    <w:rsid w:val="00AE5576"/>
    <w:rsid w:val="00AF123D"/>
    <w:rsid w:val="00AF1BAF"/>
    <w:rsid w:val="00B07841"/>
    <w:rsid w:val="00B15737"/>
    <w:rsid w:val="00B233DB"/>
    <w:rsid w:val="00B238D3"/>
    <w:rsid w:val="00B35B8C"/>
    <w:rsid w:val="00B40569"/>
    <w:rsid w:val="00B60661"/>
    <w:rsid w:val="00B71CCF"/>
    <w:rsid w:val="00B87ADC"/>
    <w:rsid w:val="00B9050C"/>
    <w:rsid w:val="00BA269F"/>
    <w:rsid w:val="00BB1D57"/>
    <w:rsid w:val="00BC3C93"/>
    <w:rsid w:val="00BC53DF"/>
    <w:rsid w:val="00BF1D85"/>
    <w:rsid w:val="00BF258B"/>
    <w:rsid w:val="00C13C66"/>
    <w:rsid w:val="00C23BEC"/>
    <w:rsid w:val="00C248C4"/>
    <w:rsid w:val="00C337C3"/>
    <w:rsid w:val="00C55FC0"/>
    <w:rsid w:val="00C71BFC"/>
    <w:rsid w:val="00C82183"/>
    <w:rsid w:val="00C92CD8"/>
    <w:rsid w:val="00CC748C"/>
    <w:rsid w:val="00CD1655"/>
    <w:rsid w:val="00CD4908"/>
    <w:rsid w:val="00CE5B12"/>
    <w:rsid w:val="00D11384"/>
    <w:rsid w:val="00D6493C"/>
    <w:rsid w:val="00D81289"/>
    <w:rsid w:val="00D90DF5"/>
    <w:rsid w:val="00D973A3"/>
    <w:rsid w:val="00DA1D75"/>
    <w:rsid w:val="00DD7765"/>
    <w:rsid w:val="00E20375"/>
    <w:rsid w:val="00E22224"/>
    <w:rsid w:val="00E36C3B"/>
    <w:rsid w:val="00E63F1A"/>
    <w:rsid w:val="00E64A9A"/>
    <w:rsid w:val="00E65676"/>
    <w:rsid w:val="00E65683"/>
    <w:rsid w:val="00EA238A"/>
    <w:rsid w:val="00EA4C97"/>
    <w:rsid w:val="00ED0FEB"/>
    <w:rsid w:val="00EE2373"/>
    <w:rsid w:val="00EE4780"/>
    <w:rsid w:val="00EF5FB6"/>
    <w:rsid w:val="00F05CFC"/>
    <w:rsid w:val="00F30866"/>
    <w:rsid w:val="00F40B92"/>
    <w:rsid w:val="00F538BF"/>
    <w:rsid w:val="00F7405A"/>
    <w:rsid w:val="00F75C1D"/>
    <w:rsid w:val="00FA2486"/>
    <w:rsid w:val="00FC0C73"/>
    <w:rsid w:val="00FD4C36"/>
    <w:rsid w:val="00FD51BB"/>
    <w:rsid w:val="00FD7067"/>
    <w:rsid w:val="00FF05B2"/>
    <w:rsid w:val="00FF592E"/>
    <w:rsid w:val="00FF6BBE"/>
    <w:rsid w:val="2B93AB3D"/>
    <w:rsid w:val="3AE9BF26"/>
    <w:rsid w:val="4822D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2DDB0"/>
  <w15:docId w15:val="{23F5C630-568E-4F34-B37F-F6F18C90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">
    <w:name w:val="Обычный (веб)1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rsid w:val="005B478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38D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30D8-7082-4F72-97C0-8D1EE091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Дарья Позднякова</cp:lastModifiedBy>
  <cp:revision>3</cp:revision>
  <dcterms:created xsi:type="dcterms:W3CDTF">2024-02-16T20:25:00Z</dcterms:created>
  <dcterms:modified xsi:type="dcterms:W3CDTF">2024-02-16T20:28:00Z</dcterms:modified>
</cp:coreProperties>
</file>