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 Regular" w:hAnsi="Times New Roman Regular" w:eastAsia="SimSun" w:cs="Times New Roman Regular"/>
          <w:b/>
          <w:bCs/>
          <w:sz w:val="24"/>
          <w:lang w:val="ru-RU"/>
        </w:rPr>
        <w:t>Лингвистический ландшафт полиэтнических гор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одов: на материале рекламы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72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Ду Канцзэ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72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Аспирант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720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М.В.Ломоносова, Высшая школа перевода (факультет), Москва, Россия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720"/>
        <w:jc w:val="center"/>
        <w:textAlignment w:val="auto"/>
        <w:rPr>
          <w:rFonts w:hint="eastAsia" w:ascii="Times New Roman Regular" w:hAnsi="Times New Roman Regular" w:cs="Times New Roman Regular"/>
          <w:i/>
          <w:iCs/>
          <w:u w:val="single" w:color="000000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"mailto:dkz951029@gmail.com"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 w:color="000000"/>
        </w:rPr>
        <w:t>dkz951029@gmail.com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 w:color="000000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5" w:firstLineChars="69"/>
        <w:textAlignment w:val="auto"/>
        <w:rPr>
          <w:rFonts w:hint="eastAsia" w:ascii="Times New Roman Regular" w:hAnsi="Times New Roman Regular" w:cs="Times New Roman Regular"/>
          <w:lang w:val="ru-RU" w:eastAsia="zh-Hans"/>
        </w:rPr>
      </w:pPr>
      <w:r>
        <w:rPr>
          <w:rFonts w:ascii="Times New Roman Regular" w:hAnsi="Times New Roman Regular" w:cs="Times New Roman Regular"/>
          <w:kern w:val="0"/>
          <w:lang w:val="ru-RU" w:bidi="ar"/>
        </w:rPr>
        <w:t xml:space="preserve">Лингвистический ландшафт </w:t>
      </w:r>
      <w:r>
        <w:rPr>
          <w:rFonts w:ascii="Times New Roman Regular" w:hAnsi="Times New Roman Regular" w:eastAsia="SimSun" w:cs="Times New Roman Regular"/>
          <w:lang w:val="ru-RU"/>
        </w:rPr>
        <w:t>‒</w:t>
      </w:r>
      <w:r>
        <w:rPr>
          <w:rFonts w:ascii="Times New Roman Regular" w:hAnsi="Times New Roman Regular" w:cs="Times New Roman Regular"/>
          <w:kern w:val="0"/>
          <w:lang w:val="ru-RU" w:bidi="ar"/>
        </w:rPr>
        <w:t xml:space="preserve"> это совокупность всех диаграмм и языковых символов или текстов в общественном пространстве города. </w:t>
      </w:r>
      <w:r>
        <w:rPr>
          <w:rFonts w:ascii="Times New Roman Regular" w:hAnsi="Times New Roman Regular" w:cs="Times New Roman Regular"/>
          <w:kern w:val="0"/>
          <w:lang w:bidi="ar"/>
        </w:rPr>
        <w:t> </w:t>
      </w:r>
      <w:r>
        <w:rPr>
          <w:rFonts w:ascii="Times New Roman Regular" w:hAnsi="Times New Roman Regular" w:cs="Times New Roman Regular"/>
          <w:kern w:val="0"/>
          <w:lang w:val="ru-RU" w:bidi="ar"/>
        </w:rPr>
        <w:t>В него могут быть включены одноязычные или полиязычные уличные указатели, рекламные щиты, названия улиц, вывески магазинов с информационной и символической функциями [4].</w:t>
      </w:r>
      <w:r>
        <w:rPr>
          <w:rFonts w:ascii="Times New Roman" w:hAnsi="Times New Roman" w:cs="Times New Roman"/>
          <w:kern w:val="0"/>
          <w:lang w:val="ru-RU" w:bidi="ar"/>
        </w:rPr>
        <w:t xml:space="preserve"> Лингвистический ландшафт рассматривается как метод исследования семиотики языка городов на фоне глобализации [3].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5" w:firstLineChars="69"/>
        <w:textAlignment w:val="auto"/>
        <w:rPr>
          <w:lang w:val="ru-RU"/>
        </w:rPr>
      </w:pPr>
      <w:r>
        <w:rPr>
          <w:rFonts w:ascii="Times New Roman Regular" w:hAnsi="Times New Roman Regular" w:cs="Times New Roman Regular"/>
          <w:kern w:val="0"/>
          <w:lang w:val="ru-RU" w:bidi="ar"/>
        </w:rPr>
        <w:t xml:space="preserve">На формирование лингвистического ландшафта оказывают влияние географическое положение и социально-исторические факторы. </w:t>
      </w:r>
      <w:r>
        <w:rPr>
          <w:rFonts w:ascii="Times New Roman" w:hAnsi="Times New Roman" w:cs="Times New Roman"/>
          <w:kern w:val="0"/>
          <w:lang w:val="ru-RU" w:bidi="ar"/>
        </w:rPr>
        <w:t>В Китае и России китайско-русский полиязычный ландшафт в основном встречается в приграничных городах и в городах, куда приезжают туристы.</w:t>
      </w:r>
      <w:r>
        <w:rPr>
          <w:rFonts w:ascii="Times New Roman" w:hAnsi="Times New Roman" w:cs="Times New Roman"/>
          <w:kern w:val="0"/>
          <w:sz w:val="26"/>
          <w:szCs w:val="26"/>
          <w:lang w:val="ru-RU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5" w:firstLineChars="69"/>
        <w:textAlignment w:val="auto"/>
        <w:rPr>
          <w:rFonts w:hint="eastAsia" w:ascii="Times New Roman Regular" w:hAnsi="Times New Roman Regular" w:cs="Times New Roman Regular"/>
          <w:kern w:val="0"/>
          <w:lang w:val="ru-RU" w:bidi="ar"/>
        </w:rPr>
      </w:pPr>
      <w:r>
        <w:rPr>
          <w:rFonts w:ascii="Times New Roman Regular" w:hAnsi="Times New Roman Regular" w:cs="Times New Roman Regular"/>
          <w:kern w:val="0"/>
          <w:lang w:val="ru-RU" w:bidi="ar"/>
        </w:rPr>
        <w:t xml:space="preserve"> Материалом для исследования служат двуязычные рекламные тексты в полиэтнических городах в России и Китае. Двуязычные рекламные тексты исследуются в экстралингвистическом и собственно</w:t>
      </w:r>
      <w:r>
        <w:rPr>
          <w:rFonts w:ascii="Times New Roman Regular" w:hAnsi="Times New Roman Regular" w:cs="Times New Roman Regular"/>
          <w:kern w:val="0"/>
          <w:lang w:bidi="ar"/>
        </w:rPr>
        <w:t> </w:t>
      </w:r>
      <w:r>
        <w:rPr>
          <w:rFonts w:ascii="Times New Roman Regular" w:hAnsi="Times New Roman Regular" w:cs="Times New Roman Regular"/>
          <w:kern w:val="0"/>
          <w:lang w:val="ru-RU" w:bidi="ar"/>
        </w:rPr>
        <w:t>лингвистическом аспектах.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5" w:firstLineChars="69"/>
        <w:textAlignment w:val="auto"/>
        <w:rPr>
          <w:rFonts w:hint="eastAsia" w:ascii="Times New Roman Regular" w:hAnsi="Times New Roman Regular" w:cs="Times New Roman Regular"/>
          <w:kern w:val="0"/>
          <w:lang w:val="ru-RU" w:eastAsia="zh-Hans" w:bidi="ar"/>
        </w:rPr>
      </w:pPr>
      <w:r>
        <w:rPr>
          <w:rFonts w:ascii="Times New Roman" w:hAnsi="Times New Roman" w:cs="Times New Roman"/>
          <w:kern w:val="0"/>
          <w:lang w:val="ru-RU" w:bidi="ar"/>
        </w:rPr>
        <w:t xml:space="preserve">Лингвистический ландшафт представляет собой совокупность символов в виде одной или нескольких символических форм, таких как слова, изображения, графика, цвет и т. д. </w:t>
      </w:r>
      <w:r>
        <w:rPr>
          <w:rFonts w:ascii="Times New Roman Regular" w:hAnsi="Times New Roman Regular" w:cs="Times New Roman Regular"/>
          <w:kern w:val="0"/>
          <w:lang w:val="ru-RU" w:bidi="ar"/>
        </w:rPr>
        <w:t xml:space="preserve">В </w:t>
      </w:r>
      <w:r>
        <w:rPr>
          <w:rFonts w:ascii="Times New Roman Regular" w:hAnsi="Times New Roman Regular" w:cs="Times New Roman Regular"/>
          <w:kern w:val="0"/>
          <w:lang w:val="ru-RU" w:eastAsia="zh-Hans" w:bidi="ar"/>
        </w:rPr>
        <w:t xml:space="preserve">экстралингвистическом </w:t>
      </w:r>
      <w:r>
        <w:rPr>
          <w:rFonts w:ascii="Times New Roman Regular" w:hAnsi="Times New Roman Regular" w:cs="Times New Roman Regular"/>
          <w:kern w:val="0"/>
          <w:lang w:val="ru-RU" w:bidi="ar"/>
        </w:rPr>
        <w:t xml:space="preserve">аспекте проанализирован семиотический аспект </w:t>
      </w:r>
      <w:r>
        <w:rPr>
          <w:rFonts w:ascii="Times New Roman Regular" w:hAnsi="Times New Roman Regular" w:cs="Times New Roman Regular"/>
          <w:kern w:val="0"/>
          <w:lang w:val="ru-RU" w:eastAsia="zh-Hans" w:bidi="ar"/>
        </w:rPr>
        <w:t xml:space="preserve">визуальных составляющих рекламных текстов, их функция и соотношение с вербальными  составляющими. </w:t>
      </w:r>
      <w:r>
        <w:rPr>
          <w:rFonts w:ascii="Times New Roman" w:hAnsi="Times New Roman" w:cs="Times New Roman"/>
          <w:kern w:val="0"/>
          <w:lang w:val="ru-RU" w:bidi="ar"/>
        </w:rPr>
        <w:t xml:space="preserve">Необходимо интерпретировать смысл сочетания символов в лингвистическом ландшафте в целом.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5" w:firstLineChars="69"/>
        <w:textAlignment w:val="auto"/>
        <w:rPr>
          <w:rStyle w:val="10"/>
          <w:rFonts w:hint="eastAsia" w:ascii="Times New Roman Regular" w:hAnsi="Times New Roman Regular"/>
          <w:color w:val="auto"/>
          <w:lang w:val="ru-RU"/>
        </w:rPr>
      </w:pPr>
      <w:r>
        <w:rPr>
          <w:rFonts w:ascii="Times New Roman Regular" w:hAnsi="Times New Roman Regular" w:cs="Times New Roman Regular"/>
          <w:kern w:val="0"/>
          <w:lang w:val="ru-RU" w:bidi="ar"/>
        </w:rPr>
        <w:t>В лингвистическом аспекте с</w:t>
      </w:r>
      <w:r>
        <w:rPr>
          <w:rStyle w:val="10"/>
          <w:rFonts w:ascii="Times New Roman Regular" w:hAnsi="Times New Roman Regular"/>
          <w:color w:val="auto"/>
          <w:lang w:val="ru-RU"/>
        </w:rPr>
        <w:t xml:space="preserve">оотношение языков в лингвистическом ландшафте указывает на </w:t>
      </w:r>
      <w:r>
        <w:rPr>
          <w:rStyle w:val="10"/>
          <w:rFonts w:ascii="Times New Roman Regular" w:hAnsi="Times New Roman Regular" w:cs="Times New Roman Regular"/>
          <w:color w:val="auto"/>
          <w:lang w:val="ru-RU" w:bidi="ar"/>
        </w:rPr>
        <w:t xml:space="preserve">сложившуюся </w:t>
      </w:r>
      <w:r>
        <w:rPr>
          <w:rStyle w:val="10"/>
          <w:rFonts w:ascii="Times New Roman Regular" w:hAnsi="Times New Roman Regular"/>
          <w:color w:val="auto"/>
          <w:lang w:val="ru-RU"/>
        </w:rPr>
        <w:t xml:space="preserve">языковую ситуацию, которая включает используемые языки, статус языков, местную языковую политику и т. д.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5" w:firstLineChars="69"/>
        <w:textAlignment w:val="auto"/>
        <w:rPr>
          <w:rFonts w:hint="eastAsia" w:ascii="Times New Roman Regular" w:hAnsi="Times New Roman Regular" w:cs="Times New Roman Regular"/>
          <w:kern w:val="0"/>
          <w:lang w:val="ru-RU" w:eastAsia="zh-Hans" w:bidi="ar"/>
        </w:rPr>
      </w:pPr>
      <w:r>
        <w:rPr>
          <w:rFonts w:ascii="Times New Roman Regular" w:hAnsi="Times New Roman Regular" w:cs="Times New Roman Regular"/>
          <w:lang w:val="ru-RU"/>
        </w:rPr>
        <w:t xml:space="preserve">Проанализированы частотность использования иноязычных знаков и </w:t>
      </w:r>
      <w:r>
        <w:rPr>
          <w:rFonts w:ascii="Times New Roman Regular" w:hAnsi="Times New Roman Regular" w:cs="Times New Roman Regular"/>
          <w:kern w:val="0"/>
          <w:lang w:val="ru-RU" w:eastAsia="zh-Hans" w:bidi="ar"/>
        </w:rPr>
        <w:t xml:space="preserve">специфика составляющих двуязычных рекламных текстов, в частности, эргонимов. Выясняется, что эргоним в тексте на доминирующем языке является идентифицирующим элементом, а в тексте на остальных языках он становится факультативным. </w:t>
      </w:r>
      <w:r>
        <w:rPr>
          <w:rFonts w:ascii="Times New Roman Regular" w:hAnsi="Times New Roman Regular"/>
          <w:kern w:val="0"/>
          <w:lang w:val="ru-RU" w:eastAsia="zh-Hans"/>
        </w:rPr>
        <w:t xml:space="preserve">В полиэтнических городах в коммуникации, помимо соответствующих языков этносов, используется иногда и пиджин или его более развитая форма – креольский язык [1]. Необходимо учитывать влияние билингвизма на восприятие </w:t>
      </w:r>
      <w:r>
        <w:rPr>
          <w:rFonts w:ascii="Times New Roman Regular" w:hAnsi="Times New Roman Regular" w:cs="Times New Roman Regular"/>
          <w:kern w:val="0"/>
          <w:lang w:val="ru-RU" w:eastAsia="zh-Hans" w:bidi="ar"/>
        </w:rPr>
        <w:t>двуязычных рекламных текстов</w:t>
      </w:r>
      <w:r>
        <w:rPr>
          <w:rFonts w:ascii="Times New Roman Regular" w:hAnsi="Times New Roman Regular"/>
          <w:kern w:val="0"/>
          <w:lang w:val="ru-RU" w:eastAsia="zh-Hans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5" w:firstLineChars="69"/>
        <w:textAlignment w:val="auto"/>
        <w:rPr>
          <w:rFonts w:hint="eastAsia" w:ascii="Times New Roman Regular" w:hAnsi="Times New Roman Regular" w:eastAsia="songti sc" w:cs="Times New Roman Regular"/>
          <w:color w:val="000000"/>
          <w:kern w:val="0"/>
          <w:lang w:val="ru-RU" w:eastAsia="zh-Hans"/>
        </w:rPr>
      </w:pPr>
      <w:r>
        <w:rPr>
          <w:rFonts w:ascii="Times New Roman Regular" w:hAnsi="Times New Roman Regular" w:eastAsia="SimSun" w:cs="Times New Roman Regular"/>
          <w:lang w:val="ru-RU" w:eastAsia="zh-Hans"/>
        </w:rPr>
        <w:t>В аспекте перевода одной из важных причин (недо)понимания д</w:t>
      </w:r>
      <w:r>
        <w:rPr>
          <w:rFonts w:ascii="Times New Roman Regular" w:hAnsi="Times New Roman Regular" w:eastAsia="songti sc" w:cs="Times New Roman Regular"/>
          <w:kern w:val="0"/>
          <w:lang w:val="ru-RU" w:eastAsia="zh-Hans"/>
        </w:rPr>
        <w:t>вуязычного или многоязычного лингвистического ландшафта</w:t>
      </w:r>
      <w:r>
        <w:rPr>
          <w:rFonts w:ascii="Times New Roman Regular" w:hAnsi="Times New Roman Regular" w:eastAsia="SimSun" w:cs="Times New Roman Regular"/>
          <w:lang w:val="ru-RU" w:eastAsia="zh-Hans"/>
        </w:rPr>
        <w:t xml:space="preserve"> является </w:t>
      </w:r>
      <w:r>
        <w:rPr>
          <w:rFonts w:ascii="Times New Roman Regular" w:hAnsi="Times New Roman Regular" w:eastAsia="songti sc" w:cs="Times New Roman Regular"/>
          <w:kern w:val="0"/>
          <w:lang w:val="ru-RU" w:eastAsia="zh-Hans"/>
        </w:rPr>
        <w:t xml:space="preserve">языковая и культурная асимметрия </w:t>
      </w:r>
      <w:r>
        <w:rPr>
          <w:rFonts w:ascii="Times New Roman Regular" w:hAnsi="Times New Roman Regular" w:eastAsia="SimSun" w:cs="Times New Roman Regular"/>
          <w:lang w:val="ru-RU" w:eastAsia="zh-Hans"/>
        </w:rPr>
        <w:t xml:space="preserve">контактирующих народов </w:t>
      </w:r>
      <w:r>
        <w:rPr>
          <w:rFonts w:ascii="Times New Roman Regular" w:hAnsi="Times New Roman Regular" w:eastAsia="songti sc" w:cs="Times New Roman Regular"/>
          <w:kern w:val="0"/>
          <w:lang w:val="ru-RU" w:eastAsia="zh-Hans"/>
        </w:rPr>
        <w:t xml:space="preserve">[2]. Асимметрия языковой картины влияет на понимание на сематическом уровне, тогда как асимметрия культурной картины преимущественно влияет на понимание на когнитивном уроне. Асимметрия языковой картины китайского и русского языков рассматривается на лексическом, грамматическом и синтаксическом уровнях. Изучено влияние словообразования, ошибок в обозначении числа, </w:t>
      </w:r>
      <w:r>
        <w:rPr>
          <w:rFonts w:ascii="Times New Roman Regular" w:hAnsi="Times New Roman Regular" w:eastAsia="songti sc" w:cs="Times New Roman Regular"/>
          <w:color w:val="000000"/>
          <w:kern w:val="0"/>
          <w:lang w:val="ru-RU" w:eastAsia="zh-Hans"/>
        </w:rPr>
        <w:t>морфологических изменениях, порядке слов, предлогах, культурноспецифической лексики</w:t>
      </w:r>
      <w:bookmarkStart w:id="0" w:name="_GoBack"/>
      <w:bookmarkEnd w:id="0"/>
      <w:r>
        <w:rPr>
          <w:rFonts w:ascii="Times New Roman Regular" w:hAnsi="Times New Roman Regular" w:eastAsia="songti sc" w:cs="Times New Roman Regular"/>
          <w:color w:val="000000"/>
          <w:kern w:val="0"/>
          <w:lang w:val="ru-RU" w:eastAsia="zh-Hans"/>
        </w:rPr>
        <w:t xml:space="preserve"> на понимание и перевод рекламного дискурса в паре языков китайский – русский.</w:t>
      </w:r>
    </w:p>
    <w:p>
      <w:pPr>
        <w:pStyle w:val="6"/>
        <w:widowControl/>
        <w:rPr>
          <w:rFonts w:hint="eastAsia" w:ascii="Times New Roman Regular" w:hAnsi="Times New Roman Regular" w:cs="Times New Roman Regular"/>
          <w:kern w:val="0"/>
          <w:lang w:val="ru-RU" w:eastAsia="zh-Hans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Times New Roman Regular" w:hAnsi="Times New Roman Regular" w:cs="Times New Roman Regular"/>
          <w:b/>
          <w:bCs/>
          <w:color w:val="000000"/>
          <w:sz w:val="24"/>
        </w:rPr>
      </w:pPr>
      <w:r>
        <w:rPr>
          <w:rFonts w:ascii="Times New Roman Regular" w:hAnsi="Times New Roman Regular" w:cs="Times New Roman Regular"/>
          <w:b/>
          <w:bCs/>
          <w:color w:val="000000"/>
          <w:sz w:val="24"/>
          <w:lang w:val="ru-RU"/>
        </w:rPr>
        <w:t>Л</w:t>
      </w:r>
      <w:r>
        <w:rPr>
          <w:rFonts w:ascii="Times New Roman Regular" w:hAnsi="Times New Roman Regular" w:cs="Times New Roman Regular"/>
          <w:b/>
          <w:bCs/>
          <w:color w:val="000000"/>
          <w:sz w:val="24"/>
        </w:rPr>
        <w:t>итература</w:t>
      </w:r>
    </w:p>
    <w:p>
      <w:pPr>
        <w:pStyle w:val="6"/>
        <w:widowControl/>
        <w:numPr>
          <w:ilvl w:val="0"/>
          <w:numId w:val="2"/>
        </w:numPr>
        <w:rPr>
          <w:rFonts w:asciiTheme="majorBidi" w:hAnsiTheme="majorBidi" w:cstheme="majorBidi"/>
          <w:color w:val="000000"/>
          <w:kern w:val="0"/>
          <w:lang w:val="ru-RU" w:bidi="ar"/>
        </w:rPr>
      </w:pPr>
      <w:r>
        <w:rPr>
          <w:rFonts w:asciiTheme="majorBidi" w:hAnsiTheme="majorBidi" w:cstheme="majorBidi"/>
          <w:color w:val="000000"/>
          <w:kern w:val="0"/>
          <w:lang w:val="ru-RU" w:bidi="ar"/>
        </w:rPr>
        <w:t xml:space="preserve">Алферов А. В., Кустова Е. Ю. Введение в интеракциональную теорию языка. Часть </w:t>
      </w:r>
      <w:r>
        <w:rPr>
          <w:rFonts w:asciiTheme="majorBidi" w:hAnsiTheme="majorBidi" w:cstheme="majorBidi"/>
          <w:color w:val="000000"/>
          <w:kern w:val="0"/>
          <w:lang w:bidi="ar"/>
        </w:rPr>
        <w:t>I</w:t>
      </w:r>
      <w:r>
        <w:rPr>
          <w:rFonts w:asciiTheme="majorBidi" w:hAnsiTheme="majorBidi" w:cstheme="majorBidi"/>
          <w:color w:val="000000"/>
          <w:kern w:val="0"/>
          <w:lang w:val="ru-RU" w:bidi="ar"/>
        </w:rPr>
        <w:t>. Социолингвистика. Учебное пособие. Пятигорск: Пятигорский государственный лингвистический университет, 2010.</w:t>
      </w:r>
    </w:p>
    <w:p>
      <w:pPr>
        <w:widowControl/>
        <w:numPr>
          <w:ilvl w:val="0"/>
          <w:numId w:val="2"/>
        </w:numPr>
        <w:rPr>
          <w:rFonts w:asciiTheme="majorBidi" w:hAnsiTheme="majorBidi" w:cstheme="majorBidi"/>
          <w:color w:val="000000"/>
          <w:kern w:val="0"/>
          <w:sz w:val="24"/>
          <w:lang w:val="ru-RU" w:bidi="ar"/>
        </w:rPr>
      </w:pPr>
      <w:r>
        <w:rPr>
          <w:rFonts w:eastAsia="SimSun" w:asciiTheme="majorBidi" w:hAnsiTheme="majorBidi" w:cstheme="majorBidi"/>
          <w:kern w:val="0"/>
          <w:sz w:val="24"/>
          <w:lang w:val="ru-RU" w:bidi="ar"/>
        </w:rPr>
        <w:t>Богин</w:t>
      </w:r>
      <w:r>
        <w:rPr>
          <w:rFonts w:eastAsia="SimSun" w:asciiTheme="majorBidi" w:hAnsiTheme="majorBidi" w:cstheme="majorBidi"/>
          <w:kern w:val="0"/>
          <w:sz w:val="24"/>
          <w:lang w:bidi="ar"/>
        </w:rPr>
        <w:t> </w:t>
      </w:r>
      <w:r>
        <w:rPr>
          <w:rFonts w:eastAsia="SimSun" w:asciiTheme="majorBidi" w:hAnsiTheme="majorBidi" w:cstheme="majorBidi"/>
          <w:kern w:val="0"/>
          <w:sz w:val="24"/>
          <w:lang w:val="ru-RU" w:bidi="ar"/>
        </w:rPr>
        <w:t>Г. И. Обретение способности понимать: Введение в</w:t>
      </w:r>
      <w:r>
        <w:rPr>
          <w:rFonts w:eastAsia="SimSun" w:asciiTheme="majorBidi" w:hAnsiTheme="majorBidi" w:cstheme="majorBidi"/>
          <w:kern w:val="0"/>
          <w:sz w:val="24"/>
          <w:lang w:bidi="ar"/>
        </w:rPr>
        <w:t> </w:t>
      </w:r>
      <w:r>
        <w:rPr>
          <w:rFonts w:eastAsia="SimSun" w:asciiTheme="majorBidi" w:hAnsiTheme="majorBidi" w:cstheme="majorBidi"/>
          <w:kern w:val="0"/>
          <w:sz w:val="24"/>
          <w:lang w:val="ru-RU" w:bidi="ar"/>
        </w:rPr>
        <w:t>герменевтику. Тверь,</w:t>
      </w:r>
      <w:r>
        <w:rPr>
          <w:rFonts w:eastAsia="SimSun" w:asciiTheme="majorBidi" w:hAnsiTheme="majorBidi" w:cstheme="majorBidi"/>
          <w:kern w:val="0"/>
          <w:sz w:val="24"/>
          <w:lang w:bidi="ar"/>
        </w:rPr>
        <w:t> </w:t>
      </w:r>
      <w:r>
        <w:rPr>
          <w:rFonts w:eastAsia="SimSun" w:asciiTheme="majorBidi" w:hAnsiTheme="majorBidi" w:cstheme="majorBidi"/>
          <w:kern w:val="0"/>
          <w:sz w:val="24"/>
          <w:lang w:val="ru-RU" w:bidi="ar"/>
        </w:rPr>
        <w:t xml:space="preserve">2001.  </w:t>
      </w:r>
    </w:p>
    <w:p>
      <w:pPr>
        <w:pStyle w:val="6"/>
        <w:widowControl/>
        <w:numPr>
          <w:ilvl w:val="0"/>
          <w:numId w:val="2"/>
        </w:numPr>
        <w:rPr>
          <w:rFonts w:eastAsia="songti sc" w:asciiTheme="majorBidi" w:hAnsiTheme="majorBidi" w:cstheme="majorBidi"/>
          <w:color w:val="000000"/>
          <w:kern w:val="0"/>
          <w:lang w:val="ru-RU" w:eastAsia="zh-Hans"/>
        </w:rPr>
      </w:pPr>
      <w:r>
        <w:rPr>
          <w:rFonts w:asciiTheme="majorBidi" w:hAnsiTheme="majorBidi" w:cstheme="majorBidi"/>
          <w:color w:val="000000"/>
          <w:kern w:val="0"/>
          <w:lang w:val="ru-RU" w:bidi="ar"/>
        </w:rPr>
        <w:t>Кирилина А.В. Описание лингвистического ландшафта как новый метод исследования языка в эпоху глобализации// Вестник ТвГУ. Серия Филология, 2013.</w:t>
      </w:r>
    </w:p>
    <w:p>
      <w:pPr>
        <w:pStyle w:val="6"/>
        <w:widowControl/>
        <w:numPr>
          <w:ilvl w:val="0"/>
          <w:numId w:val="2"/>
        </w:numPr>
        <w:rPr>
          <w:rFonts w:asciiTheme="majorBidi" w:hAnsiTheme="majorBidi" w:cstheme="majorBidi"/>
          <w:kern w:val="0"/>
          <w:lang w:bidi="ar"/>
        </w:rPr>
      </w:pPr>
      <w:r>
        <w:rPr>
          <w:rFonts w:asciiTheme="majorBidi" w:hAnsiTheme="majorBidi" w:cstheme="majorBidi"/>
          <w:kern w:val="0"/>
          <w:lang w:val="ru-RU" w:bidi="ar"/>
        </w:rPr>
        <w:t xml:space="preserve">Миронова Н.Н. </w:t>
      </w:r>
      <w:r>
        <w:fldChar w:fldCharType="begin"/>
      </w:r>
      <w:r>
        <w:instrText xml:space="preserve"> HYPERLINK "https://istina.msu.ru/publications/article/555495770/" \o "Перейти на страницу статьи" </w:instrText>
      </w:r>
      <w:r>
        <w:fldChar w:fldCharType="separate"/>
      </w:r>
      <w:r>
        <w:rPr>
          <w:rFonts w:asciiTheme="majorBidi" w:hAnsiTheme="majorBidi" w:cstheme="majorBidi"/>
          <w:kern w:val="0"/>
          <w:lang w:val="ru-RU" w:bidi="ar"/>
        </w:rPr>
        <w:t>Лингвистический ландшафт как объект междисциплинарных исследований</w:t>
      </w:r>
      <w:r>
        <w:rPr>
          <w:rFonts w:asciiTheme="majorBidi" w:hAnsiTheme="majorBidi" w:cstheme="majorBidi"/>
          <w:kern w:val="0"/>
          <w:lang w:val="ru-RU" w:bidi="ar"/>
        </w:rPr>
        <w:fldChar w:fldCharType="end"/>
      </w:r>
      <w:r>
        <w:rPr>
          <w:rFonts w:asciiTheme="majorBidi" w:hAnsiTheme="majorBidi" w:cstheme="majorBidi"/>
          <w:kern w:val="0"/>
          <w:lang w:val="ru-RU" w:bidi="ar"/>
        </w:rPr>
        <w:t xml:space="preserve"> // </w:t>
      </w:r>
      <w:r>
        <w:fldChar w:fldCharType="begin"/>
      </w:r>
      <w:r>
        <w:instrText xml:space="preserve"> HYPERLINK "https://istina.msu.ru/collections/551474438/" \o "Перейти на страницу сборника" </w:instrText>
      </w:r>
      <w:r>
        <w:fldChar w:fldCharType="separate"/>
      </w:r>
      <w:r>
        <w:rPr>
          <w:rFonts w:asciiTheme="majorBidi" w:hAnsiTheme="majorBidi" w:cstheme="majorBidi"/>
          <w:kern w:val="0"/>
          <w:lang w:val="ru-RU" w:bidi="ar"/>
        </w:rPr>
        <w:t xml:space="preserve">Языки. Культуры. Перевод: </w:t>
      </w:r>
      <w:r>
        <w:rPr>
          <w:rFonts w:asciiTheme="majorBidi" w:hAnsiTheme="majorBidi" w:cstheme="majorBidi"/>
          <w:kern w:val="0"/>
          <w:lang w:bidi="ar"/>
        </w:rPr>
        <w:t>IX</w:t>
      </w:r>
      <w:r>
        <w:rPr>
          <w:rFonts w:asciiTheme="majorBidi" w:hAnsiTheme="majorBidi" w:cstheme="majorBidi"/>
          <w:kern w:val="0"/>
          <w:lang w:val="ru-RU" w:bidi="ar"/>
        </w:rPr>
        <w:t xml:space="preserve"> Международный научно-образовательный форум / Москва, 10–13 ноября 2022 года / Сборник материалов. </w:t>
      </w:r>
      <w:r>
        <w:rPr>
          <w:rFonts w:asciiTheme="majorBidi" w:hAnsiTheme="majorBidi" w:cstheme="majorBidi"/>
          <w:kern w:val="0"/>
          <w:lang w:bidi="ar"/>
        </w:rPr>
        <w:t>М.: Изд-во МГУ</w:t>
      </w:r>
      <w:r>
        <w:rPr>
          <w:rFonts w:asciiTheme="majorBidi" w:hAnsiTheme="majorBidi" w:cstheme="majorBidi"/>
          <w:kern w:val="0"/>
          <w:lang w:bidi="ar"/>
        </w:rPr>
        <w:fldChar w:fldCharType="end"/>
      </w:r>
      <w:r>
        <w:rPr>
          <w:rFonts w:asciiTheme="majorBidi" w:hAnsiTheme="majorBidi" w:cstheme="majorBidi"/>
          <w:kern w:val="0"/>
          <w:lang w:bidi="ar"/>
        </w:rPr>
        <w:t xml:space="preserve">, 2023. </w:t>
      </w:r>
    </w:p>
    <w:p>
      <w:pPr>
        <w:rPr>
          <w:rFonts w:hint="eastAsia" w:ascii="Times New Roman Regular" w:hAnsi="Times New Roman Regular" w:cs="Times New Roman Regular"/>
          <w:sz w:val="24"/>
        </w:rPr>
      </w:pPr>
    </w:p>
    <w:sectPr>
      <w:headerReference r:id="rId3" w:type="default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algun Gothic Semilight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680"/>
        <w:tab w:val="right" w:pos="9360"/>
        <w:tab w:val="clear" w:pos="4153"/>
        <w:tab w:val="clear" w:pos="8306"/>
      </w:tabs>
      <w:rPr>
        <w:rFonts w:hint="eastAsia" w:ascii="Times New Roman Regular" w:hAnsi="Times New Roman Regular" w:cs="Times New Roman Regular"/>
        <w:sz w:val="24"/>
      </w:rPr>
    </w:pPr>
    <w:r>
      <w:rPr>
        <w:rFonts w:ascii="Times New Roman Regular" w:hAnsi="Times New Roman Regular" w:cs="Times New Roman Regular"/>
        <w:sz w:val="24"/>
      </w:rPr>
      <w:t>Конференция «Ломоносов 2024»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D72B2"/>
    <w:multiLevelType w:val="singleLevel"/>
    <w:tmpl w:val="FFFD72B2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2FF505EE"/>
    <w:multiLevelType w:val="singleLevel"/>
    <w:tmpl w:val="2FF505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E7FBD6"/>
    <w:rsid w:val="00576284"/>
    <w:rsid w:val="00830373"/>
    <w:rsid w:val="00AC22D9"/>
    <w:rsid w:val="00B062B2"/>
    <w:rsid w:val="00D43A9C"/>
    <w:rsid w:val="00E32DB9"/>
    <w:rsid w:val="00EC45F8"/>
    <w:rsid w:val="00F94938"/>
    <w:rsid w:val="177FCF1F"/>
    <w:rsid w:val="57A665A0"/>
    <w:rsid w:val="66873EAB"/>
    <w:rsid w:val="67FF1F0F"/>
    <w:rsid w:val="C7E7FBD6"/>
    <w:rsid w:val="C7FDA32F"/>
    <w:rsid w:val="DDDEFAEC"/>
    <w:rsid w:val="FFE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7">
    <w:name w:val="p1"/>
    <w:basedOn w:val="1"/>
    <w:qFormat/>
    <w:uiPriority w:val="0"/>
    <w:rPr>
      <w:rFonts w:ascii="Times New Roman" w:hAnsi="Times New Roman" w:cs="Times New Roman"/>
      <w:color w:val="A30003"/>
      <w:kern w:val="0"/>
      <w:sz w:val="26"/>
      <w:szCs w:val="26"/>
    </w:rPr>
  </w:style>
  <w:style w:type="character" w:customStyle="1" w:styleId="8">
    <w:name w:val="s1"/>
    <w:basedOn w:val="2"/>
    <w:qFormat/>
    <w:uiPriority w:val="0"/>
  </w:style>
  <w:style w:type="paragraph" w:customStyle="1" w:styleId="9">
    <w:name w:val="p2"/>
    <w:basedOn w:val="1"/>
    <w:qFormat/>
    <w:uiPriority w:val="0"/>
    <w:rPr>
      <w:rFonts w:ascii="Times New Roman" w:hAnsi="Times New Roman" w:cs="Times New Roman"/>
      <w:color w:val="A30003"/>
      <w:kern w:val="0"/>
      <w:sz w:val="26"/>
      <w:szCs w:val="26"/>
    </w:rPr>
  </w:style>
  <w:style w:type="character" w:customStyle="1" w:styleId="10">
    <w:name w:val="s2"/>
    <w:basedOn w:val="2"/>
    <w:autoRedefine/>
    <w:qFormat/>
    <w:uiPriority w:val="0"/>
    <w:rPr>
      <w:color w:val="A30003"/>
    </w:rPr>
  </w:style>
  <w:style w:type="character" w:customStyle="1" w:styleId="11">
    <w:name w:val="s3"/>
    <w:basedOn w:val="2"/>
    <w:autoRedefine/>
    <w:qFormat/>
    <w:uiPriority w:val="0"/>
    <w:rPr>
      <w:rFonts w:hint="default" w:ascii="Times New Roman" w:hAnsi="Times New Roman" w:cs="Times New Roman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3502</Characters>
  <Lines>29</Lines>
  <Paragraphs>7</Paragraphs>
  <TotalTime>5</TotalTime>
  <ScaleCrop>false</ScaleCrop>
  <LinksUpToDate>false</LinksUpToDate>
  <CharactersWithSpaces>3935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2024-03-09T11:31:00Z</dcterms:created>
  <dc:creator>Kangze Du</dc:creator>
  <cp:lastModifiedBy>Елена Мешкова</cp:lastModifiedBy>
  <dcterms:modified xsi:type="dcterms:W3CDTF">2024-05-04T21:46:32Z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B7A664EC22924535A39B272940B498BE_13</vt:lpwstr>
  </property>
</Properties>
</file>