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Сравнительный анализ стратегий национальной безопасности Федеративной Республики Германии и Соединенного Королевства.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Цыбин Степан Константинович 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Марцинкевич Игорь Вячеславович 2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1-Студент 2 курса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Московский государственный университет имени М.В.Ломоносова,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Факультет мировой политики, Москва, Россия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Е-</w:t>
      </w:r>
      <w:r>
        <w:rPr>
          <w:rFonts w:cs="Times New Roman" w:ascii="Times New Roman" w:hAnsi="Times New Roman"/>
          <w:i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i/>
          <w:sz w:val="24"/>
          <w:szCs w:val="24"/>
        </w:rPr>
        <w:t xml:space="preserve">: </w:t>
      </w:r>
      <w:hyperlink r:id="rId2">
        <w:r>
          <w:rPr>
            <w:rFonts w:cs="Times New Roman" w:ascii="Times New Roman" w:hAnsi="Times New Roman"/>
            <w:i/>
            <w:sz w:val="24"/>
            <w:szCs w:val="24"/>
            <w:lang w:val="en-US"/>
          </w:rPr>
          <w:t>stepancybin</w:t>
        </w:r>
        <w:r>
          <w:rPr>
            <w:rFonts w:cs="Times New Roman" w:ascii="Times New Roman" w:hAnsi="Times New Roman"/>
            <w:i/>
            <w:sz w:val="24"/>
            <w:szCs w:val="24"/>
          </w:rPr>
          <w:t>65@</w:t>
        </w:r>
        <w:r>
          <w:rPr>
            <w:rFonts w:cs="Times New Roman" w:ascii="Times New Roman" w:hAnsi="Times New Roman"/>
            <w:i/>
            <w:sz w:val="24"/>
            <w:szCs w:val="24"/>
            <w:lang w:val="en-US"/>
          </w:rPr>
          <w:t>gmail</w:t>
        </w:r>
        <w:r>
          <w:rPr>
            <w:rFonts w:cs="Times New Roman" w:ascii="Times New Roman" w:hAnsi="Times New Roman"/>
            <w:i/>
            <w:sz w:val="24"/>
            <w:szCs w:val="24"/>
          </w:rPr>
          <w:t>.</w:t>
        </w:r>
        <w:r>
          <w:rPr>
            <w:rFonts w:cs="Times New Roman" w:ascii="Times New Roman" w:hAnsi="Times New Roman"/>
            <w:i/>
            <w:sz w:val="24"/>
            <w:szCs w:val="24"/>
            <w:lang w:val="en-US"/>
          </w:rPr>
          <w:t>com</w:t>
        </w:r>
      </w:hyperlink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2-Студент 2 курса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Московский государственный университет имени М.В.Ломоносова,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Факультет мировой политики, Москва, Россия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i/>
          <w:sz w:val="24"/>
          <w:szCs w:val="24"/>
          <w:lang w:val="en-US"/>
        </w:rPr>
        <w:t xml:space="preserve">Е-mail: </w:t>
      </w:r>
      <w:hyperlink r:id="rId3">
        <w:r>
          <w:rPr>
            <w:rFonts w:cs="Times New Roman" w:ascii="Times New Roman" w:hAnsi="Times New Roman"/>
            <w:i/>
            <w:sz w:val="24"/>
            <w:szCs w:val="24"/>
            <w:lang w:val="en-US"/>
          </w:rPr>
          <w:t>marzinkevichi@mail.ru</w:t>
        </w:r>
      </w:hyperlink>
    </w:p>
    <w:p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последнее десятилетие западноевропейские страны – члены НАТО −сталкиваются с новыми вызовами и угрозами. Перед их лицом, казалось бы, участники Североатлантического альянса должны были еще больше сплотиться и гармонизировать свои стратегические приоритеты. Данное утверждение, однако, не является самоочевидным и требует проверки с учетом событий Брексита и глубоких трансформаций ландшафта европейской безопасности, вызванных украинским кризисом. В этой связи целесообразным представляется оценить степень расхождения доктринальных установок Федеративной Республики Германия (ФРГ) и Соединенного Королевства (СК) по военно-политическим вопросам посредством сравнения последних версий их документов стратегического планирования: : «</w:t>
      </w:r>
      <w:r>
        <w:rPr>
          <w:rFonts w:cs="Times New Roman" w:ascii="Times New Roman" w:hAnsi="Times New Roman"/>
          <w:sz w:val="24"/>
          <w:szCs w:val="24"/>
          <w:lang w:val="en-US"/>
        </w:rPr>
        <w:t>Wehrhaft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de-DE"/>
        </w:rPr>
        <w:t>Resilient. Nachhaltig…» (</w:t>
      </w:r>
      <w:r>
        <w:rPr>
          <w:rFonts w:cs="Times New Roman" w:ascii="Times New Roman" w:hAnsi="Times New Roman"/>
          <w:sz w:val="24"/>
          <w:szCs w:val="24"/>
        </w:rPr>
        <w:t>ФРГ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; </w:t>
      </w:r>
      <w:r>
        <w:rPr>
          <w:rFonts w:cs="Times New Roman" w:ascii="Times New Roman" w:hAnsi="Times New Roman"/>
          <w:sz w:val="24"/>
          <w:szCs w:val="24"/>
        </w:rPr>
        <w:t>принята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июне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2023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.) [1]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«Global Britain in a Competitive Age» (</w:t>
      </w:r>
      <w:r>
        <w:rPr>
          <w:rFonts w:cs="Times New Roman" w:ascii="Times New Roman" w:hAnsi="Times New Roman"/>
          <w:sz w:val="24"/>
          <w:szCs w:val="24"/>
        </w:rPr>
        <w:t>СК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; </w:t>
      </w:r>
      <w:r>
        <w:rPr>
          <w:rFonts w:cs="Times New Roman" w:ascii="Times New Roman" w:hAnsi="Times New Roman"/>
          <w:sz w:val="24"/>
          <w:szCs w:val="24"/>
        </w:rPr>
        <w:t>принята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марте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2021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актуальна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 2030</w:t>
      </w:r>
      <w:r>
        <w:rPr>
          <w:rFonts w:cs="Times New Roman" w:ascii="Times New Roman" w:hAnsi="Times New Roman"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  <w:lang w:val="de-DE"/>
        </w:rPr>
        <w:t xml:space="preserve">.). </w:t>
      </w:r>
      <w:r>
        <w:rPr>
          <w:rFonts w:cs="Times New Roman" w:ascii="Times New Roman" w:hAnsi="Times New Roman"/>
          <w:sz w:val="24"/>
          <w:szCs w:val="24"/>
        </w:rPr>
        <w:t>[2]</w:t>
      </w:r>
    </w:p>
    <w:p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Оба документа были приняты в условиях обострения межгосударственного соперничества. В то же время стратегия национальной безопасности (СНБ) ФРГ является ответом на угрозы европейской безопасности, вызванные «украинским кризисом», и в этом смысле имеет ярко выраженную региональную направленность. Аналогичный документ СК стал реакцией на более глубокие изменения центросиловой конфигурации мира, связанные главным образом с «возвышением» Китая в Индо-Тихоокеанском регионе и отражает глобалистский вектор внешней политики страны.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9"/>
        <w:tblW w:w="9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58"/>
        <w:gridCol w:w="3058"/>
        <w:gridCol w:w="3058"/>
      </w:tblGrid>
      <w:tr>
        <w:trPr/>
        <w:tc>
          <w:tcPr>
            <w:tcW w:w="30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Страна</w:t>
            </w:r>
          </w:p>
        </w:tc>
        <w:tc>
          <w:tcPr>
            <w:tcW w:w="30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ФРГ</w:t>
            </w:r>
          </w:p>
        </w:tc>
        <w:tc>
          <w:tcPr>
            <w:tcW w:w="30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СК</w:t>
            </w:r>
          </w:p>
        </w:tc>
      </w:tr>
      <w:tr>
        <w:trPr/>
        <w:tc>
          <w:tcPr>
            <w:tcW w:w="30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Семантический анализ</w:t>
            </w:r>
          </w:p>
        </w:tc>
        <w:tc>
          <w:tcPr>
            <w:tcW w:w="30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Китай упомянут 6 раз, РФ – 9, США – 2, Тихоокеанский регион – 0, НАТО – 29, Европа – 40, европейский </w:t>
            </w:r>
            <w:r>
              <w:rPr>
                <w:rFonts w:eastAsia="Symbol" w:cs="Symbol" w:ascii="Symbol" w:hAnsi="Symbol"/>
                <w:kern w:val="0"/>
                <w:sz w:val="24"/>
                <w:szCs w:val="24"/>
                <w:lang w:val="ru-RU" w:eastAsia="en-US" w:bidi="ar-SA"/>
              </w:rPr>
              <w:t>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71.</w:t>
            </w:r>
          </w:p>
        </w:tc>
        <w:tc>
          <w:tcPr>
            <w:tcW w:w="30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Китай упомянут 18 раз, РФ – 14, США – 10, Тихоокеанский регион – 32, НАТО </w:t>
            </w:r>
            <w:r>
              <w:rPr>
                <w:rFonts w:eastAsia="Symbol" w:cs="Symbol" w:ascii="Symbol" w:hAnsi="Symbol"/>
                <w:kern w:val="0"/>
                <w:sz w:val="24"/>
                <w:szCs w:val="24"/>
                <w:lang w:val="ru-RU" w:eastAsia="en-US" w:bidi="ar-SA"/>
              </w:rPr>
              <w:t>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43, Европа – 26, Европейский </w:t>
            </w:r>
            <w:r>
              <w:rPr>
                <w:rFonts w:eastAsia="Symbol" w:cs="Symbol" w:ascii="Symbol" w:hAnsi="Symbol"/>
                <w:kern w:val="0"/>
                <w:sz w:val="24"/>
                <w:szCs w:val="24"/>
                <w:lang w:val="ru-RU" w:eastAsia="en-US" w:bidi="ar-SA"/>
              </w:rPr>
              <w:t>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18.</w:t>
            </w:r>
          </w:p>
        </w:tc>
      </w:tr>
      <w:tr>
        <w:trPr>
          <w:trHeight w:val="3526" w:hRule="atLeast"/>
        </w:trPr>
        <w:tc>
          <w:tcPr>
            <w:tcW w:w="30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Преемственность</w:t>
            </w:r>
          </w:p>
        </w:tc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СНБ ФРГ</w:t>
            </w:r>
            <w:r>
              <w:rPr>
                <w:rFonts w:eastAsia="Symbol" w:cs="Symbol" w:ascii="Symbol" w:hAnsi="Symbol"/>
                <w:kern w:val="0"/>
                <w:sz w:val="24"/>
                <w:szCs w:val="24"/>
                <w:lang w:val="ru-RU" w:eastAsia="en-US" w:bidi="ar-SA"/>
              </w:rPr>
              <w:t>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первая в истории страны. Концептуально она опирается на «Глобальную стратегию Европейского Союза по внешней политике и политике безопасности» (июнь 2016 г.) [3] и «Стратегическую концепцию НАТО 2022 года» (июнь 2022 г.). [4]</w:t>
            </w:r>
          </w:p>
        </w:tc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СНБ СК повторяет предшествующую стратегию 2015 года в расстановке приоритетов военного и политического сотрудничества, выделяя роль США. [5]</w:t>
            </w:r>
          </w:p>
        </w:tc>
      </w:tr>
      <w:tr>
        <w:trPr/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Условия применения вооруженных сил (ВС)</w:t>
            </w:r>
          </w:p>
        </w:tc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ФРГ выражает свою приверженность целям и принципам НАТО и выражает готовность действовать в соответствии со ст. 5 Североатлантического договора. [6]</w:t>
            </w:r>
          </w:p>
        </w:tc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Ссылка на пятую статью Североатлантического договора подчеркивает приверженность СК общей доктрине безопасности альянса.</w:t>
            </w:r>
          </w:p>
        </w:tc>
      </w:tr>
      <w:tr>
        <w:trPr>
          <w:trHeight w:val="172" w:hRule="atLeast"/>
        </w:trPr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Стратегические приоритеты</w:t>
            </w:r>
          </w:p>
        </w:tc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Отмечается непоколебимость сотрудничества с НАТО и ЕС.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Признаются все базовые принципы Устава ООН и международного права.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Подчеркивается роль ВС ФРГ в регулировании кризисов в других регионах мира. </w:t>
            </w:r>
          </w:p>
        </w:tc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Признается ведущая роль НАТО в вопросах обеспечения безопасности и военно-политического взаимодействия.</w:t>
            </w:r>
          </w:p>
        </w:tc>
      </w:tr>
      <w:tr>
        <w:trPr/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Региональные приоритеты</w:t>
            </w:r>
          </w:p>
        </w:tc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Индо-Тихоокеанский регион.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КНР названа системным соперником, конкурентом и партнером.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Трансатлантический регион.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ФРГ будет следовать стратегии НАТО от 2022 г. и обязуется направить в специальный фонд Бундесвера финансирование в размере 2% от своего ВВП.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Европейский регион.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ФРГ стремится сделать ЕС независимым геополитически активным игроком посредством консолидации объединения. ФРГ планирует развивать европейский ВПК и использовать контингент собственных ВС для формирования чрезвычайных сил ЕС на случай прямой угрозы безопасности союза.</w:t>
            </w:r>
          </w:p>
        </w:tc>
        <w:tc>
          <w:tcPr>
            <w:tcW w:w="30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 xml:space="preserve">Индо-Тихоокеанский регион.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Индо-Тихоокеанский регион приобретает особое значение в связи ростом значения средних держав и их военно-политической ориентации на блоки. Укрепление связей с АСЕАН.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ru-RU" w:eastAsia="en-US" w:bidi="ar-SA"/>
              </w:rPr>
              <w:t>Европейский регион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. Поддержание отношений с европейскими союзниками.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Планируется укреплять Объединённые экспедиционные силы на основе двухсторонних договоров.</w:t>
            </w:r>
          </w:p>
        </w:tc>
      </w:tr>
      <w:tr>
        <w:trPr/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Страновые приоритеты</w:t>
            </w:r>
          </w:p>
        </w:tc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Укрепление доверительных и равных партнерских отношений с США.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Приверженность дружбе с Францией.</w:t>
            </w:r>
          </w:p>
        </w:tc>
        <w:tc>
          <w:tcPr>
            <w:tcW w:w="30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США отмечается как главный союзник по координации сил в альянсе.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Проведенный анализ наглядно показал, что СК и ФРГ, являясь членами НАТО, по-разному видят свою стратегическую роль в альянсе. СК стремится удержать и по возможности укрепить свои позиции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на глобальном уровне, в особенности в регионе ИТР, стягивающим на себя международные взаимодействия, в т.ч. по военно-политическим вопросам.  ФРГ, в свою очередь, стремится расширить собственное влияние в рамках ЕС. Данное противоречие доктринальных установок косвенно указывает на расхождение подходов двух стран к обеспечению европейской безопасности: хотя обе страны продвигает евроатлантическую концепцию и признают ведущую роль НАТО в обеспечении стабильности в Европе, ФРГ придает большое значение европейскому компоненту в рамках альянса. СК в свою очередь склонна выстраивать более гибкую линию взаимодействия с НАТО и европейскими партнерами.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Список источников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de-DE"/>
        </w:rPr>
        <w:t xml:space="preserve">Integrierte Sicherheit für Deutschland: Nationale Sicherheitsstrategie // Bundesministerium der Verteidigung. </w:t>
      </w:r>
      <w:r>
        <w:rPr>
          <w:rFonts w:cs="Times New Roman"/>
          <w:sz w:val="24"/>
          <w:lang w:val="en-US"/>
        </w:rPr>
        <w:t xml:space="preserve">Available at: </w:t>
      </w:r>
      <w:hyperlink r:id="rId4">
        <w:r>
          <w:rPr>
            <w:rFonts w:cs="Times New Roman"/>
            <w:sz w:val="24"/>
            <w:lang w:val="en-US"/>
          </w:rPr>
          <w:t>https://www.bmvg.de/resource/blob/5636374/38287252c5442b786ac5d0036ebb237b/nationale-sicherheitsstrategie-data.pdf</w:t>
        </w:r>
      </w:hyperlink>
      <w:r>
        <w:rPr>
          <w:rStyle w:val="Style17"/>
          <w:rFonts w:cs="Times New Roman"/>
          <w:sz w:val="24"/>
          <w:lang w:val="en-US"/>
        </w:rPr>
        <w:t xml:space="preserve"> </w:t>
      </w:r>
      <w:r>
        <w:rPr>
          <w:rFonts w:cs="Times New Roman"/>
          <w:sz w:val="24"/>
          <w:lang w:val="en-US"/>
        </w:rPr>
        <w:t>(accessed: 25.02.2024).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t xml:space="preserve">Global_Britain in_a Competitive Age: The Integrated Review of Security, Defence, Development and Foreign Policy // GOV.UK. Available at: </w:t>
      </w:r>
      <w:r>
        <w:rPr>
          <w:rStyle w:val="Style17"/>
          <w:rFonts w:cs="Times New Roman"/>
          <w:sz w:val="24"/>
          <w:lang w:val="en-US"/>
        </w:rPr>
        <w:t>https://assets.publishing.service.gov.uk/government/uploads/system/uploads/attachment_data/file/975077/Global_Britain_in_a_Competitive_Age-_the_Integrated_Review_of_Security__Defence__Development_and_Foreign_Policy.pdf</w:t>
      </w:r>
      <w:r>
        <w:rPr>
          <w:rFonts w:cs="Times New Roman"/>
          <w:sz w:val="24"/>
          <w:lang w:val="en-US"/>
        </w:rPr>
        <w:t xml:space="preserve"> (accessed: 25.02.2024).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cs="Times New Roman"/>
          <w:sz w:val="24"/>
        </w:rPr>
      </w:pPr>
      <w:r>
        <w:rPr>
          <w:rFonts w:cs="Times New Roman"/>
          <w:sz w:val="24"/>
        </w:rPr>
        <w:t xml:space="preserve">Общее видение, единый подход: сильная Европа: Глобальная стратегия Европейского Союза по внешней политике и политике безопасности // Европейская служба внешних связей. Доступ: </w:t>
      </w:r>
      <w:r>
        <w:rPr>
          <w:rStyle w:val="Style17"/>
          <w:rFonts w:cs="Times New Roman"/>
          <w:sz w:val="24"/>
          <w:lang w:val="en-US"/>
        </w:rPr>
        <w:t>https</w:t>
      </w:r>
      <w:r>
        <w:rPr>
          <w:rStyle w:val="Style17"/>
          <w:rFonts w:cs="Times New Roman"/>
          <w:sz w:val="24"/>
        </w:rPr>
        <w:t>://</w:t>
      </w:r>
      <w:r>
        <w:rPr>
          <w:rStyle w:val="Style17"/>
          <w:rFonts w:cs="Times New Roman"/>
          <w:sz w:val="24"/>
          <w:lang w:val="en-US"/>
        </w:rPr>
        <w:t>www</w:t>
      </w:r>
      <w:r>
        <w:rPr>
          <w:rStyle w:val="Style17"/>
          <w:rFonts w:cs="Times New Roman"/>
          <w:sz w:val="24"/>
        </w:rPr>
        <w:t>.</w:t>
      </w:r>
      <w:r>
        <w:rPr>
          <w:rStyle w:val="Style17"/>
          <w:rFonts w:cs="Times New Roman"/>
          <w:sz w:val="24"/>
          <w:lang w:val="en-US"/>
        </w:rPr>
        <w:t>eeas</w:t>
      </w:r>
      <w:r>
        <w:rPr>
          <w:rStyle w:val="Style17"/>
          <w:rFonts w:cs="Times New Roman"/>
          <w:sz w:val="24"/>
        </w:rPr>
        <w:t>.</w:t>
      </w:r>
      <w:r>
        <w:rPr>
          <w:rStyle w:val="Style17"/>
          <w:rFonts w:cs="Times New Roman"/>
          <w:sz w:val="24"/>
          <w:lang w:val="en-US"/>
        </w:rPr>
        <w:t>europa</w:t>
      </w:r>
      <w:r>
        <w:rPr>
          <w:rStyle w:val="Style17"/>
          <w:rFonts w:cs="Times New Roman"/>
          <w:sz w:val="24"/>
        </w:rPr>
        <w:t>.</w:t>
      </w:r>
      <w:r>
        <w:rPr>
          <w:rStyle w:val="Style17"/>
          <w:rFonts w:cs="Times New Roman"/>
          <w:sz w:val="24"/>
          <w:lang w:val="en-US"/>
        </w:rPr>
        <w:t>eu</w:t>
      </w:r>
      <w:r>
        <w:rPr>
          <w:rStyle w:val="Style17"/>
          <w:rFonts w:cs="Times New Roman"/>
          <w:sz w:val="24"/>
        </w:rPr>
        <w:t>/</w:t>
      </w:r>
      <w:r>
        <w:rPr>
          <w:rStyle w:val="Style17"/>
          <w:rFonts w:cs="Times New Roman"/>
          <w:sz w:val="24"/>
          <w:lang w:val="en-US"/>
        </w:rPr>
        <w:t>sites</w:t>
      </w:r>
      <w:r>
        <w:rPr>
          <w:rStyle w:val="Style17"/>
          <w:rFonts w:cs="Times New Roman"/>
          <w:sz w:val="24"/>
        </w:rPr>
        <w:t>/</w:t>
      </w:r>
      <w:r>
        <w:rPr>
          <w:rStyle w:val="Style17"/>
          <w:rFonts w:cs="Times New Roman"/>
          <w:sz w:val="24"/>
          <w:lang w:val="en-US"/>
        </w:rPr>
        <w:t>default</w:t>
      </w:r>
      <w:r>
        <w:rPr>
          <w:rStyle w:val="Style17"/>
          <w:rFonts w:cs="Times New Roman"/>
          <w:sz w:val="24"/>
        </w:rPr>
        <w:t>/</w:t>
      </w:r>
      <w:r>
        <w:rPr>
          <w:rStyle w:val="Style17"/>
          <w:rFonts w:cs="Times New Roman"/>
          <w:sz w:val="24"/>
          <w:lang w:val="en-US"/>
        </w:rPr>
        <w:t>files</w:t>
      </w:r>
      <w:r>
        <w:rPr>
          <w:rStyle w:val="Style17"/>
          <w:rFonts w:cs="Times New Roman"/>
          <w:sz w:val="24"/>
        </w:rPr>
        <w:t>/</w:t>
      </w:r>
      <w:r>
        <w:rPr>
          <w:rStyle w:val="Style17"/>
          <w:rFonts w:cs="Times New Roman"/>
          <w:sz w:val="24"/>
          <w:lang w:val="en-US"/>
        </w:rPr>
        <w:t>eu</w:t>
      </w:r>
      <w:r>
        <w:rPr>
          <w:rStyle w:val="Style17"/>
          <w:rFonts w:cs="Times New Roman"/>
          <w:sz w:val="24"/>
        </w:rPr>
        <w:t>_</w:t>
      </w:r>
      <w:r>
        <w:rPr>
          <w:rStyle w:val="Style17"/>
          <w:rFonts w:cs="Times New Roman"/>
          <w:sz w:val="24"/>
          <w:lang w:val="en-US"/>
        </w:rPr>
        <w:t>global</w:t>
      </w:r>
      <w:r>
        <w:rPr>
          <w:rStyle w:val="Style17"/>
          <w:rFonts w:cs="Times New Roman"/>
          <w:sz w:val="24"/>
        </w:rPr>
        <w:t>_</w:t>
      </w:r>
      <w:r>
        <w:rPr>
          <w:rStyle w:val="Style17"/>
          <w:rFonts w:cs="Times New Roman"/>
          <w:sz w:val="24"/>
          <w:lang w:val="en-US"/>
        </w:rPr>
        <w:t>strategy</w:t>
      </w:r>
      <w:r>
        <w:rPr>
          <w:rStyle w:val="Style17"/>
          <w:rFonts w:cs="Times New Roman"/>
          <w:sz w:val="24"/>
        </w:rPr>
        <w:t>_</w:t>
      </w:r>
      <w:r>
        <w:rPr>
          <w:rStyle w:val="Style17"/>
          <w:rFonts w:cs="Times New Roman"/>
          <w:sz w:val="24"/>
          <w:lang w:val="en-US"/>
        </w:rPr>
        <w:t>ru</w:t>
      </w:r>
      <w:r>
        <w:rPr>
          <w:rStyle w:val="Style17"/>
          <w:rFonts w:cs="Times New Roman"/>
          <w:sz w:val="24"/>
        </w:rPr>
        <w:t>.</w:t>
      </w:r>
      <w:r>
        <w:rPr>
          <w:rStyle w:val="Style17"/>
          <w:rFonts w:cs="Times New Roman"/>
          <w:sz w:val="24"/>
          <w:lang w:val="en-US"/>
        </w:rPr>
        <w:t>pdf</w:t>
      </w:r>
      <w:r>
        <w:rPr>
          <w:rStyle w:val="Style17"/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(дата обращения: 25.02.2024).</w:t>
      </w:r>
    </w:p>
    <w:p>
      <w:pPr>
        <w:pStyle w:val="ListParagrap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Стратегическая концепция НАТО 2022 года: Принята главами государств и правительств на встрече в верхах НАТО в Мадриде 29 июня 2022 г // Организация Североатлантического договора. Доступ: </w:t>
      </w:r>
      <w:hyperlink r:id="rId5">
        <w:r>
          <w:rPr>
            <w:rFonts w:cs="Times New Roman"/>
            <w:sz w:val="24"/>
            <w:lang w:val="en-US"/>
          </w:rPr>
          <w:t>https</w:t>
        </w:r>
        <w:r>
          <w:rPr>
            <w:rFonts w:cs="Times New Roman"/>
            <w:sz w:val="24"/>
          </w:rPr>
          <w:t>://</w:t>
        </w:r>
        <w:r>
          <w:rPr>
            <w:rFonts w:cs="Times New Roman"/>
            <w:sz w:val="24"/>
            <w:lang w:val="en-US"/>
          </w:rPr>
          <w:t>www</w:t>
        </w:r>
        <w:r>
          <w:rPr>
            <w:rFonts w:cs="Times New Roman"/>
            <w:sz w:val="24"/>
          </w:rPr>
          <w:t>.</w:t>
        </w:r>
        <w:r>
          <w:rPr>
            <w:rFonts w:cs="Times New Roman"/>
            <w:sz w:val="24"/>
            <w:lang w:val="en-US"/>
          </w:rPr>
          <w:t>nato</w:t>
        </w:r>
        <w:r>
          <w:rPr>
            <w:rFonts w:cs="Times New Roman"/>
            <w:sz w:val="24"/>
          </w:rPr>
          <w:t>.</w:t>
        </w:r>
        <w:r>
          <w:rPr>
            <w:rFonts w:cs="Times New Roman"/>
            <w:sz w:val="24"/>
            <w:lang w:val="en-US"/>
          </w:rPr>
          <w:t>int</w:t>
        </w:r>
        <w:r>
          <w:rPr>
            <w:rFonts w:cs="Times New Roman"/>
            <w:sz w:val="24"/>
          </w:rPr>
          <w:t>/</w:t>
        </w:r>
        <w:r>
          <w:rPr>
            <w:rFonts w:cs="Times New Roman"/>
            <w:sz w:val="24"/>
            <w:lang w:val="en-US"/>
          </w:rPr>
          <w:t>nato</w:t>
        </w:r>
        <w:r>
          <w:rPr>
            <w:rFonts w:cs="Times New Roman"/>
            <w:sz w:val="24"/>
          </w:rPr>
          <w:t>_</w:t>
        </w:r>
        <w:r>
          <w:rPr>
            <w:rFonts w:cs="Times New Roman"/>
            <w:sz w:val="24"/>
            <w:lang w:val="en-US"/>
          </w:rPr>
          <w:t>static</w:t>
        </w:r>
        <w:r>
          <w:rPr>
            <w:rFonts w:cs="Times New Roman"/>
            <w:sz w:val="24"/>
          </w:rPr>
          <w:t>_</w:t>
        </w:r>
        <w:r>
          <w:rPr>
            <w:rFonts w:cs="Times New Roman"/>
            <w:sz w:val="24"/>
            <w:lang w:val="en-US"/>
          </w:rPr>
          <w:t>fl</w:t>
        </w:r>
        <w:r>
          <w:rPr>
            <w:rFonts w:cs="Times New Roman"/>
            <w:sz w:val="24"/>
          </w:rPr>
          <w:t>2014/</w:t>
        </w:r>
        <w:r>
          <w:rPr>
            <w:rFonts w:cs="Times New Roman"/>
            <w:sz w:val="24"/>
            <w:lang w:val="en-US"/>
          </w:rPr>
          <w:t>assets</w:t>
        </w:r>
        <w:r>
          <w:rPr>
            <w:rFonts w:cs="Times New Roman"/>
            <w:sz w:val="24"/>
          </w:rPr>
          <w:t>/</w:t>
        </w:r>
        <w:r>
          <w:rPr>
            <w:rFonts w:cs="Times New Roman"/>
            <w:sz w:val="24"/>
            <w:lang w:val="en-US"/>
          </w:rPr>
          <w:t>pdf</w:t>
        </w:r>
        <w:r>
          <w:rPr>
            <w:rFonts w:cs="Times New Roman"/>
            <w:sz w:val="24"/>
          </w:rPr>
          <w:t>/2022/6/</w:t>
        </w:r>
        <w:r>
          <w:rPr>
            <w:rFonts w:cs="Times New Roman"/>
            <w:sz w:val="24"/>
            <w:lang w:val="en-US"/>
          </w:rPr>
          <w:t>pdf</w:t>
        </w:r>
        <w:r>
          <w:rPr>
            <w:rFonts w:cs="Times New Roman"/>
            <w:sz w:val="24"/>
          </w:rPr>
          <w:t>/290622-</w:t>
        </w:r>
        <w:r>
          <w:rPr>
            <w:rFonts w:cs="Times New Roman"/>
            <w:sz w:val="24"/>
            <w:lang w:val="en-US"/>
          </w:rPr>
          <w:t>strategic</w:t>
        </w:r>
        <w:r>
          <w:rPr>
            <w:rFonts w:cs="Times New Roman"/>
            <w:sz w:val="24"/>
          </w:rPr>
          <w:t>-</w:t>
        </w:r>
        <w:r>
          <w:rPr>
            <w:rFonts w:cs="Times New Roman"/>
            <w:sz w:val="24"/>
            <w:lang w:val="en-US"/>
          </w:rPr>
          <w:t>concept</w:t>
        </w:r>
        <w:r>
          <w:rPr>
            <w:rFonts w:cs="Times New Roman"/>
            <w:sz w:val="24"/>
          </w:rPr>
          <w:t>-</w:t>
        </w:r>
        <w:r>
          <w:rPr>
            <w:rFonts w:cs="Times New Roman"/>
            <w:sz w:val="24"/>
            <w:lang w:val="en-US"/>
          </w:rPr>
          <w:t>ru</w:t>
        </w:r>
        <w:r>
          <w:rPr>
            <w:rFonts w:cs="Times New Roman"/>
            <w:sz w:val="24"/>
          </w:rPr>
          <w:t>.</w:t>
        </w:r>
        <w:r>
          <w:rPr>
            <w:rFonts w:cs="Times New Roman"/>
            <w:sz w:val="24"/>
            <w:lang w:val="en-US"/>
          </w:rPr>
          <w:t>pdf</w:t>
        </w:r>
      </w:hyperlink>
      <w:r>
        <w:rPr>
          <w:rFonts w:cs="Times New Roman"/>
          <w:sz w:val="24"/>
        </w:rPr>
        <w:t xml:space="preserve"> (дата обращения: 25.02.2024).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t xml:space="preserve">National Security Strategy and Strategic Defence and Security Review 2015: A Secure and Prosperous United Kingdom // GOV.UK. Available at% </w:t>
      </w:r>
      <w:hyperlink r:id="rId6">
        <w:r>
          <w:rPr>
            <w:rFonts w:cs="Times New Roman"/>
            <w:sz w:val="24"/>
            <w:lang w:val="en-US"/>
          </w:rPr>
          <w:t>https://assets.publishing.service.gov.uk/media/5a74c796ed915d502d6caefc/52309_Cm_9161_NSS_SD_Review_web_only.pdf</w:t>
        </w:r>
      </w:hyperlink>
      <w:r>
        <w:rPr>
          <w:rFonts w:cs="Times New Roman"/>
          <w:sz w:val="24"/>
          <w:lang w:val="en-US"/>
        </w:rPr>
        <w:t xml:space="preserve"> (accessed: 25.02.2024).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rFonts w:cs="Times New Roman"/>
          <w:sz w:val="24"/>
          <w:lang w:val="en-US"/>
        </w:rPr>
      </w:pPr>
      <w:r>
        <w:rPr>
          <w:rFonts w:cs="Times New Roman"/>
          <w:sz w:val="24"/>
        </w:rPr>
        <w:t xml:space="preserve">Североатлантический договор // Организация Североатлантического договора. </w:t>
      </w:r>
      <w:r>
        <w:rPr>
          <w:rFonts w:cs="Times New Roman"/>
          <w:sz w:val="24"/>
          <w:lang w:val="en-US"/>
        </w:rPr>
        <w:t xml:space="preserve">Available at: </w:t>
      </w:r>
      <w:hyperlink r:id="rId7">
        <w:r>
          <w:rPr>
            <w:rFonts w:cs="Times New Roman"/>
            <w:sz w:val="24"/>
            <w:lang w:val="en-US"/>
          </w:rPr>
          <w:t>https://www.nato.int/cps/ru/natohq/official_texts_17120.htm</w:t>
        </w:r>
      </w:hyperlink>
      <w:r>
        <w:rPr>
          <w:rFonts w:cs="Times New Roman"/>
          <w:sz w:val="24"/>
          <w:lang w:val="en-US"/>
        </w:rPr>
        <w:t xml:space="preserve"> (accessed: 25.02.2024).</w:t>
      </w:r>
    </w:p>
    <w:sectPr>
      <w:type w:val="nextPage"/>
      <w:pgSz w:w="11906" w:h="16838"/>
      <w:pgMar w:left="1361" w:right="136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3f8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32e7b"/>
    <w:rPr/>
  </w:style>
  <w:style w:type="character" w:styleId="Style15" w:customStyle="1">
    <w:name w:val="Нижний колонтитул Знак"/>
    <w:basedOn w:val="DefaultParagraphFont"/>
    <w:uiPriority w:val="99"/>
    <w:qFormat/>
    <w:rsid w:val="00b32e7b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0a65de"/>
    <w:rPr>
      <w:rFonts w:ascii="Segoe UI" w:hAnsi="Segoe UI" w:cs="Segoe UI"/>
      <w:sz w:val="18"/>
      <w:szCs w:val="18"/>
    </w:rPr>
  </w:style>
  <w:style w:type="character" w:styleId="Style17">
    <w:name w:val="Интернет-ссылка"/>
    <w:basedOn w:val="DefaultParagraphFont"/>
    <w:uiPriority w:val="99"/>
    <w:unhideWhenUsed/>
    <w:rsid w:val="008c49b3"/>
    <w:rPr>
      <w:color w:val="0563C1" w:themeColor="hyperlink"/>
      <w:u w:val="single"/>
    </w:rPr>
  </w:style>
  <w:style w:type="character" w:styleId="Style18">
    <w:name w:val="Нумерация строк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d43f8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6d0258"/>
    <w:pPr>
      <w:spacing w:lineRule="auto" w:line="240" w:before="0" w:after="0"/>
      <w:ind w:left="720" w:hanging="0"/>
      <w:contextualSpacing/>
      <w:jc w:val="both"/>
    </w:pPr>
    <w:rPr>
      <w:rFonts w:ascii="Times New Roman" w:hAnsi="Times New Roman"/>
      <w:sz w:val="28"/>
      <w:szCs w:val="24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b32e7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unhideWhenUsed/>
    <w:rsid w:val="00b32e7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" w:customStyle="1">
    <w:name w:val="Стиль1"/>
    <w:basedOn w:val="NoSpacing"/>
    <w:qFormat/>
    <w:rsid w:val="00be5ab2"/>
    <w:pPr>
      <w:ind w:left="397" w:hanging="0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Revision">
    <w:name w:val="Revision"/>
    <w:uiPriority w:val="99"/>
    <w:semiHidden/>
    <w:qFormat/>
    <w:rsid w:val="00b549e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a65d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d82d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pancybin65@gmail.com" TargetMode="External"/><Relationship Id="rId3" Type="http://schemas.openxmlformats.org/officeDocument/2006/relationships/hyperlink" Target="mailto:marzinkevichi@mail.ru" TargetMode="External"/><Relationship Id="rId4" Type="http://schemas.openxmlformats.org/officeDocument/2006/relationships/hyperlink" Target="https://www.bmvg.de/resource/blob/5636374/38287252c5442b786ac5d0036ebb237b/nationale-sicherheitsstrategie-data.pdf" TargetMode="External"/><Relationship Id="rId5" Type="http://schemas.openxmlformats.org/officeDocument/2006/relationships/hyperlink" Target="https://www.nato.int/nato_static_fl2014/assets/pdf/2022/6/pdf/290622-strategic-concept-ru.pdf" TargetMode="External"/><Relationship Id="rId6" Type="http://schemas.openxmlformats.org/officeDocument/2006/relationships/hyperlink" Target="https://assets.publishing.service.gov.uk/media/5a74c796ed915d502d6caefc/52309_Cm_9161_NSS_SD_Review_web_only.pdf" TargetMode="External"/><Relationship Id="rId7" Type="http://schemas.openxmlformats.org/officeDocument/2006/relationships/hyperlink" Target="https://www.nato.int/cps/ru/natohq/official_texts_17120.htm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38F7A-0320-4438-AD72-A6BAF189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4</Pages>
  <Words>772</Words>
  <Characters>6070</Characters>
  <CharactersWithSpaces>6804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2024-02-29T15:16:00Z</dcterms:created>
  <dc:creator>user</dc:creator>
  <dc:description/>
  <dc:language>ru-RU</dc:language>
  <cp:lastModifiedBy/>
  <dcterms:modified xsi:type="dcterms:W3CDTF">2024-04-27T19:51:44Z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