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ind w:firstLine="720"/>
        <w:jc w:val="center"/>
        <w:rPr>
          <w:b w:val="false"/>
          <w:b w:val="false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Проблема влияния крупных держав на политику непризнанных государств на примере Турции и электоральных процессов в Северном Кипре.</w:t>
      </w:r>
    </w:p>
    <w:p>
      <w:pPr>
        <w:pStyle w:val="Style10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Акимов С.Н.1</w:t>
      </w:r>
    </w:p>
    <w:p>
      <w:pPr>
        <w:pStyle w:val="Style10"/>
        <w:bidi w:val="0"/>
        <w:spacing w:lineRule="auto" w:line="307" w:before="0" w:after="0"/>
        <w:jc w:val="center"/>
        <w:rPr>
          <w:b/>
          <w:b/>
          <w:bCs/>
        </w:rPr>
      </w:pPr>
      <w:r>
        <w:rPr>
          <w:rFonts w:ascii="Times New Roman;serif" w:hAnsi="Times New Roman;serif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Лукошков А.В.2</w:t>
      </w:r>
    </w:p>
    <w:p>
      <w:pPr>
        <w:pStyle w:val="Style10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1Российский государственный социальный университет, Гуманитарный факультет, Единая кафедра, Студент (магистр), 2024</w:t>
      </w:r>
    </w:p>
    <w:p>
      <w:pPr>
        <w:pStyle w:val="Style10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djianiro@gmail.com</w:t>
      </w:r>
    </w:p>
    <w:p>
      <w:pPr>
        <w:pStyle w:val="Style10"/>
        <w:jc w:val="center"/>
        <w:rPr>
          <w:rFonts w:ascii="Roboto;Arial;Helvetica;sans-serif" w:hAnsi="Roboto;Arial;Helvetica;sans-serif"/>
          <w:b w:val="false"/>
          <w:b w:val="false"/>
          <w:i w:val="false"/>
          <w:i w:val="false"/>
          <w:caps w:val="false"/>
          <w:smallCaps w:val="false"/>
          <w:color w:val="353535"/>
          <w:spacing w:val="0"/>
          <w:sz w:val="23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2Российский государственный социальный университет, Гуманитарный факультет, Единая кафедра, Студент (магистр), 2024</w:t>
      </w:r>
    </w:p>
    <w:p>
      <w:pPr>
        <w:pStyle w:val="Style10"/>
        <w:jc w:val="center"/>
        <w:rPr>
          <w:rFonts w:ascii="Roboto;Arial;Helvetica;sans-serif" w:hAnsi="Roboto;Arial;Helvetica;sans-serif"/>
          <w:b w:val="false"/>
          <w:b w:val="false"/>
          <w:i w:val="false"/>
          <w:i w:val="false"/>
          <w:caps w:val="false"/>
          <w:smallCaps w:val="false"/>
          <w:color w:val="353535"/>
          <w:spacing w:val="0"/>
          <w:sz w:val="23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pacing w:val="0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akenoalone@gmail.com</w:t>
      </w:r>
    </w:p>
    <w:p>
      <w:pPr>
        <w:pStyle w:val="Style1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В настоящее время международная система сталкивается с рядом уникальных вызовов, связанных с существованием и функционированием непризнанных государств. Эти территориальные образования, не имеющие широкого международного признания, вынуждены осуществлять свою внутреннюю и внешнюю политику в условиях значительных ограничений. Одной из ключевых сфер, где эти ограничения проявляются наиболее остро, являются электоральные процессы. На примере Северного Кипра можно наблюдать, как проблемы легитимности и международного признания влияют на проведение выборов и их восприятие как внутри самого непризнанного государства, так и за его пределами. В этом контексте особую роль играют крупные государства, заинтересованные в поддержании или изменении статус-кво. Так, Турция, как государство, активно поддерживающее Северный Кипр, оказывает значительное влияние на его внутренние процессы, такие как экономические [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>]. Такое положение дел релевантно и для электоральной политики внутри государства. Эта взаимосвязь между непризнанными государствами и их патронирующими державами создает сложную мозаику взаимодействий, которая требует тщательного анализа для понимания особенностей электоральных процессов в таких регионах.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30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Избирательный процесс в Северном Кипре организован в соответствии с принципами, установленными в Конституции Турецкой Республики Северного Кипра (ТРСК). Он включает в себя выборы президента и парламента (Ассамблеи Республики). Президентские и парламентские выборы проводятся каждые пять лет.</w:t>
      </w:r>
    </w:p>
    <w:p>
      <w:pPr>
        <w:pStyle w:val="Normal"/>
        <w:shd w:val="clear" w:color="auto" w:fill="FFFFFF"/>
        <w:spacing w:before="300" w:after="30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В ТРСК действует многопартийная система, и выборы обычно характеризуются активным участием нескольких политических партий. Партии и кандидаты в ТРСК часто ассоциируются с их позицией по отношению к Кипрскому вопросу, а также их отношениям с Турцией и политикой интеграции с Европейским Союзом.</w:t>
      </w:r>
    </w:p>
    <w:p>
      <w:pPr>
        <w:pStyle w:val="Normal"/>
        <w:shd w:val="clear" w:color="auto" w:fill="FFFFFF"/>
        <w:spacing w:before="300" w:after="30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Примеры президентских и парламентских выборов в Северном Кипре показывают, что политический ландшафт остается динамичным. Например, на президентских выборах 2020 года победу одержал Эрсин Татар из Национального единства партии, известный своей про-турецкой и жесткой позицией по кипрскому вопросу. Его победа была воспринята как сдвиг в сторону более жесткой линии в отношениях с Республикой Кипр и меньшей готовности к компромиссам в переговорах о воссоединении острова. Сам Эрсин Татар, по мнению некоторых турков-киприотов, является не просто протурецкой политической фигурой, но ставленников Анкары. Так в 2020 году, после переговоров с Реджепом Эрдоганом, им было принято решение о восстановлении курорта-призрака Вароша [</w:t>
      </w:r>
      <w:r>
        <w:rPr>
          <w:rFonts w:eastAsia="Times New Roman" w:cs="Times New Roman" w:ascii="Times New Roman" w:hAnsi="Times New Roman"/>
          <w:color w:val="0D0D0D"/>
          <w:sz w:val="24"/>
          <w:szCs w:val="24"/>
          <w:lang w:val="ru-RU"/>
        </w:rPr>
        <w:t>4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]. Такой шаг был воспринят как исключительно популистский, не имеющий экономического расчета. В знак протеста, министр иностранных дел Северного Кипра Кудрет Озерсай покинул свой пост, обвинив Анкару во вмешательстве во внутренние дела страны. [</w:t>
      </w:r>
      <w:r>
        <w:rPr>
          <w:rFonts w:eastAsia="Times New Roman" w:cs="Times New Roman" w:ascii="Times New Roman" w:hAnsi="Times New Roman"/>
          <w:color w:val="0D0D0D"/>
          <w:sz w:val="24"/>
          <w:szCs w:val="24"/>
          <w:lang w:val="ru-RU"/>
        </w:rPr>
        <w:t>5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]</w:t>
      </w:r>
    </w:p>
    <w:p>
      <w:pPr>
        <w:pStyle w:val="Normal"/>
        <w:shd w:val="clear" w:color="auto" w:fill="FFFFFF"/>
        <w:spacing w:before="300" w:after="30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Помимо прямого вмешательства во внутреннюю политику страны, Турция добивается от Северного Кипра необходимого курса и косвенными методами. Так, разбирая ситуацию вокруг референдума по плану объединения острова Кипр  К. Аннана. По итогу около 75% греков-киприотов высказалось против ввиду излишнего крена условий в сторону Северного Кипра в пятой вариации данного плана. Среди турков-киприотов же 64,9% голосовавших поддержали данный способ решения проблемы. Примечательно здесь то, что большой процент голосов принадлежал эмигрантам из Турции [</w:t>
      </w:r>
      <w:r>
        <w:rPr>
          <w:rFonts w:eastAsia="Times New Roman" w:cs="Times New Roman" w:ascii="Times New Roman" w:hAnsi="Times New Roman"/>
          <w:color w:val="0D0D0D"/>
          <w:sz w:val="24"/>
          <w:szCs w:val="24"/>
          <w:lang w:val="ru-RU"/>
        </w:rPr>
        <w:t>1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 xml:space="preserve">]. </w:t>
      </w:r>
    </w:p>
    <w:p>
      <w:pPr>
        <w:pStyle w:val="Normal"/>
        <w:shd w:val="clear" w:color="auto" w:fill="FFFFFF"/>
        <w:spacing w:before="300" w:after="300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В контексте парламентских выборов, проведенных в 2018 году, также было видно разнообразие политических предпочтений среди избирателей Северного Кипра. Партия Национального единства вновь получила значительную поддержку, но также и другие партии, включая Республиканскую турецкую партию, имеющую более мягкую позицию по кипрскому вопросу и выступающую за более тесные связи с Европейским Союзом, показали сильные результаты. В контексте того, что Европейский Союз признает лишь Республику Кипр, подобное можно расценивать скорее как сигнал к договороспособности турецкой стороны.</w:t>
        <w:br/>
        <w:tab/>
        <w:t>Подводя итоги, можно сказать, что подобный патронаж со стороны Турции в отношении Северного Кипра приводит к тому, что судьба турков-киприотов зависит не от воли народа, а от ситуации в кабинетах Анкары и настроения турецкого общества. Как в случае с требованием, выдвинутым Турции со стороны Европейской Комиссии, открытия турецких портов для Республики Кипр, когда решение Анкары пойти навстречу грекам-киприотам вызвало шквал недовольства внутри страны [</w:t>
      </w:r>
      <w:r>
        <w:rPr>
          <w:rFonts w:eastAsia="Times New Roman" w:cs="Times New Roman" w:ascii="Times New Roman" w:hAnsi="Times New Roman"/>
          <w:color w:val="0D0D0D"/>
          <w:sz w:val="24"/>
          <w:szCs w:val="24"/>
          <w:lang w:val="ru-RU"/>
        </w:rPr>
        <w:t>3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], любые уступки будут восприниматься слабостью и тем самым тормозить любой вариант объединения Кипра под единым флагом, вне зависимости от желания народов его населяющего.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Список Литературы</w:t>
      </w:r>
    </w:p>
    <w:p>
      <w:pPr>
        <w:pStyle w:val="Normal"/>
        <w:numPr>
          <w:ilvl w:val="0"/>
          <w:numId w:val="0"/>
        </w:numPr>
        <w:spacing w:lineRule="auto" w:line="302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1. Гришечкин В.В. К вопросу о статусе Северного Кипра // Электронное приложение к Российскому юридическому журналу. 2011. №3. С. 69-72.</w:t>
      </w:r>
    </w:p>
    <w:p>
      <w:pPr>
        <w:pStyle w:val="Normal"/>
        <w:numPr>
          <w:ilvl w:val="0"/>
          <w:numId w:val="0"/>
        </w:numPr>
        <w:spacing w:lineRule="auto" w:line="302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2. Козик К. А. Кипрский вопрос в политике турецкой Республики (начало XXI В. ) // Евразийский Союз Ученых. 2015. №11-1 (20). С. 67-72.</w:t>
      </w:r>
    </w:p>
    <w:p>
      <w:pPr>
        <w:pStyle w:val="Normal"/>
        <w:numPr>
          <w:ilvl w:val="0"/>
          <w:numId w:val="0"/>
        </w:numPr>
        <w:spacing w:lineRule="auto" w:line="302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3. Сизова Ю.С., Богданова А.В. Особенности экономического развития Северного Кипра // Экономика и бизнес: теория и практика. 2022. №4-2. С. 131-138.</w:t>
      </w:r>
    </w:p>
    <w:p>
      <w:pPr>
        <w:pStyle w:val="Normal"/>
        <w:numPr>
          <w:ilvl w:val="0"/>
          <w:numId w:val="0"/>
        </w:numPr>
        <w:spacing w:lineRule="auto" w:line="302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4. Woodyatt A. North Cyprus reopens ‘ghost town’ beach resort for first time since 1970s // URL: https://edition.cnn.com/travel/article/north-cyprus-varosha-resort-open-</w:t>
      </w:r>
    </w:p>
    <w:p>
      <w:pPr>
        <w:pStyle w:val="Normal"/>
        <w:numPr>
          <w:ilvl w:val="0"/>
          <w:numId w:val="0"/>
        </w:numPr>
        <w:spacing w:lineRule="auto" w:line="302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intl-scli/ (Дата обращения 15.02.2024)</w:t>
      </w:r>
    </w:p>
    <w:p>
      <w:pPr>
        <w:pStyle w:val="Normal"/>
        <w:numPr>
          <w:ilvl w:val="0"/>
          <w:numId w:val="0"/>
        </w:numPr>
        <w:spacing w:lineRule="auto" w:line="302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/>
        <w:t>5. Turkish Cypriot FM quits in protest at move to reopen ghost resort // URL: https://www.newarab.com/news/turkish-cypriot-fm-quits-protest (Дата обращения 15.02.2024)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Roboto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rPr>
      <w:color w:val="00008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3</Pages>
  <Words>740</Words>
  <Characters>5060</Characters>
  <CharactersWithSpaces>5781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2024-02-16T08:08:00Z</dcterms:created>
  <dc:creator/>
  <dc:description/>
  <dc:language>ru-RU</dc:language>
  <cp:lastModifiedBy/>
  <dcterms:modified xsi:type="dcterms:W3CDTF">2024-04-27T20:00:54Z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