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b/>
          <w:b/>
        </w:rPr>
      </w:pPr>
      <w:r>
        <w:rPr>
          <w:b/>
        </w:rPr>
        <w:t>«Израильский фактор» в структуре конфликтного взаимодействия США и ЮНЕСКО</w:t>
      </w:r>
    </w:p>
    <w:p>
      <w:pPr>
        <w:pStyle w:val="Style20"/>
        <w:bidi w:val="0"/>
        <w:spacing w:lineRule="auto" w:line="307" w:before="0" w:after="0"/>
        <w:jc w:val="center"/>
        <w:rPr>
          <w:b/>
          <w:b/>
        </w:rPr>
      </w:pPr>
      <w:r>
        <w:rPr>
          <w:rFonts w:ascii="Times New Roman;serif" w:hAnsi="Times New Roman;serif"/>
          <w:b/>
          <w:i/>
          <w:caps w:val="false"/>
          <w:smallCaps w:val="false"/>
          <w:strike w:val="false"/>
          <w:dstrike w:val="false"/>
          <w:color w:val="000000"/>
          <w:sz w:val="24"/>
          <w:u w:val="none"/>
          <w:effect w:val="none"/>
          <w:shd w:fill="auto" w:val="clear"/>
        </w:rPr>
        <w:t>Авдеев</w:t>
      </w:r>
      <w:r>
        <w:rPr>
          <w:rFonts w:ascii="Times New Roman;serif" w:hAnsi="Times New Roman;serif"/>
          <w:b/>
          <w:i/>
          <w:caps w:val="false"/>
          <w:smallCaps w:val="false"/>
          <w:strike w:val="false"/>
          <w:dstrike w:val="false"/>
          <w:color w:val="000000"/>
          <w:sz w:val="24"/>
          <w:u w:val="none"/>
          <w:effect w:val="none"/>
          <w:shd w:fill="auto" w:val="clear"/>
        </w:rPr>
        <w:t xml:space="preserve"> </w:t>
      </w:r>
      <w:r>
        <w:rPr>
          <w:rFonts w:ascii="Times New Roman;serif" w:hAnsi="Times New Roman;serif"/>
          <w:b/>
          <w:i/>
          <w:caps w:val="false"/>
          <w:smallCaps w:val="false"/>
          <w:strike w:val="false"/>
          <w:dstrike w:val="false"/>
          <w:color w:val="000000"/>
          <w:sz w:val="24"/>
          <w:u w:val="none"/>
          <w:effect w:val="none"/>
          <w:shd w:fill="auto" w:val="clear"/>
        </w:rPr>
        <w:t>Б.А.</w:t>
      </w:r>
    </w:p>
    <w:p>
      <w:pPr>
        <w:pStyle w:val="Style20"/>
        <w:bidi w:val="0"/>
        <w:spacing w:lineRule="auto" w:line="307" w:before="0" w:after="0"/>
        <w:jc w:val="center"/>
        <w:rPr>
          <w:b/>
          <w:b/>
        </w:rPr>
      </w:pPr>
      <w:r>
        <w:rPr>
          <w:rFonts w:ascii="Times New Roman;serif" w:hAnsi="Times New Roman;serif"/>
          <w:b w:val="false"/>
          <w:i/>
          <w:caps w:val="false"/>
          <w:smallCaps w:val="false"/>
          <w:strike w:val="false"/>
          <w:dstrike w:val="false"/>
          <w:color w:val="000000"/>
          <w:sz w:val="24"/>
          <w:u w:val="none"/>
          <w:effect w:val="none"/>
          <w:shd w:fill="auto" w:val="clear"/>
        </w:rPr>
        <w:t>Московский государственный университет имени М.В.Ломоносова, Факультет мировой политики, Кафедра международных организаций и мировых политических процессов, Аспирант, 2026</w:t>
      </w:r>
    </w:p>
    <w:p>
      <w:pPr>
        <w:pStyle w:val="Style20"/>
        <w:jc w:val="center"/>
        <w:rPr>
          <w:b/>
          <w:b/>
        </w:rPr>
      </w:pPr>
      <w:r>
        <w:rPr>
          <w:rFonts w:ascii="Times New Roman;serif" w:hAnsi="Times New Roman;serif"/>
          <w:b w:val="false"/>
          <w:i/>
          <w:caps w:val="false"/>
          <w:smallCaps w:val="false"/>
          <w:strike w:val="false"/>
          <w:dstrike w:val="false"/>
          <w:color w:val="353535"/>
          <w:sz w:val="24"/>
          <w:u w:val="none"/>
          <w:effect w:val="none"/>
          <w:shd w:fill="FFFFFF" w:val="clear"/>
        </w:rPr>
        <w:t xml:space="preserve">E–mail: </w:t>
      </w:r>
      <w:r>
        <w:rPr>
          <w:rFonts w:ascii="Times New Roman;serif" w:hAnsi="Times New Roman;serif"/>
          <w:b w:val="false"/>
          <w:i/>
          <w:caps w:val="false"/>
          <w:smallCaps w:val="false"/>
          <w:strike w:val="false"/>
          <w:dstrike w:val="false"/>
          <w:color w:val="000000"/>
          <w:sz w:val="24"/>
          <w:u w:val="none"/>
          <w:effect w:val="none"/>
          <w:shd w:fill="auto" w:val="clear"/>
        </w:rPr>
        <w:t>bogdanavdeew1999@yandex.ru</w:t>
      </w:r>
    </w:p>
    <w:p>
      <w:pPr>
        <w:pStyle w:val="Normal"/>
        <w:rPr/>
      </w:pPr>
      <w:r>
        <w:rPr/>
        <w:t>В 2018 г. Соединенные Штаты Америки (США) во второй раз вышли из Организации Объединенных Наций по вопросам образования, науки и культуры (ЮНЕСКО; Организация). Впервые это произошло при администрации Р. Рейгана в 1984 г. В обоих случаях американское руководство ссылалось на «антиизраильскую риторику» в качестве причины прекращения членства в Организации. В этой связи необходимо оценить преемственность «израильского» фактора в структуре дипломатических конфликтов между США и ЮНЕСКО.</w:t>
      </w:r>
    </w:p>
    <w:p>
      <w:pPr>
        <w:pStyle w:val="Normal"/>
        <w:rPr/>
      </w:pPr>
      <w:r>
        <w:rPr/>
        <w:t xml:space="preserve">16 сентября 1949 г. Израиль стал полноценным членом Организации. В октябре и ноябре 1974 г. в рамках ЮНЕСКО были приняты первые три антиизраильские резолюции. Особенно болезненным для Израиля стал первый документ, согласно которому страну лишали права голоса в руководящих органах Организации [8]. В ответ на это Конгресс запретил финансировать ЮНЕСКО до тех пор, пока положение Израиля в рамках Организации не изменится [3]. Угроза бюджетного кризиса вынудила руководство Организации пойти на уступки: 8 ноября 1976 г. завершился период двухлетней процедурной изоляции Израиля. </w:t>
      </w:r>
    </w:p>
    <w:p>
      <w:pPr>
        <w:pStyle w:val="Normal"/>
        <w:rPr/>
      </w:pPr>
      <w:r>
        <w:rPr/>
        <w:t>Однако 28 декабря 1983 г. государственный секретарь США Дж. Шульц передал письмо на имя Гендиректора ЮНЕСКО А.-М. М’Боу с намерением покинуть Организацию через год [2] Официальные претензии США к Организации сводились к трем ключевым положениям: 1) политизация (в т.ч. «антиизраильская» риторика); 2) «враждебность по отношению к базовым институтам свободного общества»; 3) неэффективная система управления и неограниченная «бюджетная экспансия» [7].</w:t>
      </w:r>
    </w:p>
    <w:p>
      <w:pPr>
        <w:pStyle w:val="Normal"/>
        <w:rPr/>
      </w:pPr>
      <w:r>
        <w:rPr/>
        <w:t xml:space="preserve">Впрочем, гипотеза о том, что именно «израильский фактор» повлиял на решение США о выходе из ЮНЕСКО, не подтверждается. Во-первых, к 1976 г. кризис в отношениях США и Организации вокруг антиизраильских резолюций 1974 г. был в целом исчерпан. Во-вторых, глава американской делегации на 22-й сессии ГК ЮНЕСКО (1983) Э. Хеннелли признал, что антиизраильские шаги на конференции не предпринимались [9]. В-третьих, произраильская повестка не являлась превалирующей ни в кругах парламентариев, ни в среде гражданского общества, о чем свидетельствуют слушания в Конгрессе за 1984 г. [5]. Наконец, сам Израиль выступил официально против американского решения, рассматривая Организацию как источник дипломатической легитимности и ценной экспертизы [10]. </w:t>
      </w:r>
    </w:p>
    <w:p>
      <w:pPr>
        <w:pStyle w:val="Normal"/>
        <w:rPr/>
      </w:pPr>
      <w:r>
        <w:rPr/>
        <w:t>Обратимся к эпизоду второго выхода США из ЮНЕСКО. 12 октября 2017 г. государственный секретарь Р. Тиллерсон направил уведомление о выходе США из Организации на имя Гендиректора И. Боковой. В качестве официальных причин были названы следующие основания: 1) растущая задолженность США по взносам; 2) необходимость проведения фундаментальных реформ; 3) противодействие «предвзятости по отношению к Израилю» со стороны Организации [6].</w:t>
      </w:r>
    </w:p>
    <w:p>
      <w:pPr>
        <w:pStyle w:val="Normal"/>
        <w:rPr/>
      </w:pPr>
      <w:r>
        <w:rPr/>
        <w:t>Помимо финансовых и управленческих проблем, не меньшую (а может и определяющую) роль в принятии данного решения сыграл «израильский фактор». Во-первых, разрыв отношений с ЮНЕСКО гармонично вписывается в ближневосточную политику администрации Д. Трампа, направленную на поддержку Израиля и дискредитацию Палестины на международной арене (выход США из Совета по правам человека из-за его антиизраильской позиции, закрытие представительства ООП в Вашингтоне, приостановка финансирования БАПОР и т.д.). Во-вторых, произраильский курс республиканской администрации и, в частности, выход из ЮНЕСКО как символ осуждения ее «антиизраильской предвзятости» отражали стремление властей укрепить свою основную электоральную базу (в лице сочувствующих Израилю христиан-евангелистов). В-третьих, отчетливо «произраильский след» обнаруживается и в проектах резолюций Конгресса, осуждающих практики ЮНЕСКО по номинированию объектов всемирного наследия на оккупированных территориях [см., например: 4]. По мнению ряда экспертов, такая позиция законодателей симптоматична с учетом укрепившегося в обеих палатах Конгресса израильского лобби [11]. Наконец, неприятие Д. Трампом антиизраильской политики в рамках ЮНЕСКО было связано с его личными симпатиями и предпочтениями: глава Белого дома окружил себя «сторонниками правоконсервативных взглядов на палестино-израильское урегулирование» (речь идет, в частности, о Дж. Кушнере, Д. Фридмане, Дж. Гринблатте, А. Берковице и Н. Хейли)</w:t>
      </w:r>
      <w:r>
        <w:rPr>
          <w:lang w:val="en-US"/>
        </w:rPr>
        <w:t xml:space="preserve"> [1]</w:t>
      </w:r>
      <w:r>
        <w:rPr/>
        <w:t xml:space="preserve">. </w:t>
      </w:r>
    </w:p>
    <w:p>
      <w:pPr>
        <w:pStyle w:val="Normal"/>
        <w:rPr/>
      </w:pPr>
      <w:r>
        <w:rPr/>
        <w:t>Таким образом, проведенный качественный анализ показал, что «израильский фактор» является зависимой переменной в системе конфликтного взаимодействия США и ЮНЕСКО и детерминируется политической конъюнктурой. При администрации Р. Рейгана он был упомянут только в контексте усиливающейся политизации Организации, но не более чем пример, подтверждающий, по мнению американского руководства, общий тренд. При Д. Трампе выход из ЮНЕСКО рассматривался как часть более широких дипломатических усилий, нацеленных на поддержку Израиля, и отражал идеологические установки президента и его команды.</w:t>
      </w:r>
    </w:p>
    <w:p>
      <w:pPr>
        <w:pStyle w:val="Normal"/>
        <w:rPr>
          <w:b/>
          <w:b/>
        </w:rPr>
      </w:pPr>
      <w:r>
        <w:rPr>
          <w:b/>
        </w:rPr>
        <w:t>Список источников и литературы:</w:t>
      </w:r>
    </w:p>
    <w:p>
      <w:pPr>
        <w:pStyle w:val="ListParagraph"/>
        <w:numPr>
          <w:ilvl w:val="0"/>
          <w:numId w:val="1"/>
        </w:numPr>
        <w:rPr/>
      </w:pPr>
      <w:r>
        <w:rPr/>
        <w:t>Хлебникова Л.Р. Американский план палестино-израильского урегулирования («Сделка века» Д. Трампа) // США и Канада: экономика, политика, культура. 2020. Т. 50. № 4. С. 94.</w:t>
      </w:r>
    </w:p>
    <w:p>
      <w:pPr>
        <w:pStyle w:val="ListParagraph"/>
        <w:numPr>
          <w:ilvl w:val="0"/>
          <w:numId w:val="1"/>
        </w:numPr>
        <w:rPr>
          <w:lang w:val="en-US"/>
        </w:rPr>
      </w:pPr>
      <w:r>
        <w:rPr>
          <w:lang w:val="en-US"/>
        </w:rPr>
        <w:t>Communication from the S</w:t>
      </w:r>
      <w:bookmarkStart w:id="0" w:name="_GoBack"/>
      <w:bookmarkEnd w:id="0"/>
      <w:r>
        <w:rPr>
          <w:lang w:val="en-US"/>
        </w:rPr>
        <w:t xml:space="preserve">ecretary of State of the United States of America Concerning the Withdrawal of the United States of America // UNESDOC Digital Library. P. 2. Available at: https://unesdoc.unesco.org/ark:/48223/pf0000059131/PDF/059131engo.pdf.multi (accessed: </w:t>
      </w:r>
      <w:r>
        <w:rPr>
          <w:lang w:val="es-ES_tradnl"/>
        </w:rPr>
        <w:t>25.02.202</w:t>
      </w:r>
      <w:r>
        <w:rPr>
          <w:lang w:val="en-US"/>
        </w:rPr>
        <w:t>4).</w:t>
      </w:r>
    </w:p>
    <w:p>
      <w:pPr>
        <w:pStyle w:val="ListParagraph"/>
        <w:numPr>
          <w:ilvl w:val="0"/>
          <w:numId w:val="1"/>
        </w:numPr>
        <w:rPr>
          <w:lang w:val="en-US"/>
        </w:rPr>
      </w:pPr>
      <w:r>
        <w:rPr>
          <w:lang w:val="en-US"/>
        </w:rPr>
        <w:t>Foreign Assistance Act of 1974: Public Law 93−559. S. 3394, December 30, 1974 // Library of Congress. P. 1800</w:t>
      </w:r>
      <w:r>
        <w:rPr>
          <w:rFonts w:eastAsia="Symbol" w:cs="Symbol" w:ascii="Symbol" w:hAnsi="Symbol"/>
          <w:lang w:val="en-US"/>
        </w:rPr>
        <w:t></w:t>
      </w:r>
      <w:r>
        <w:rPr>
          <w:lang w:val="en-US"/>
        </w:rPr>
        <w:t xml:space="preserve">1801. Available at: https://www.congress.gov/93/statute/STATUTE-88/STATUTE-88-Pg1795.pdf (accessed: </w:t>
      </w:r>
      <w:r>
        <w:rPr>
          <w:lang w:val="es-ES_tradnl"/>
        </w:rPr>
        <w:t>25.02.202</w:t>
      </w:r>
      <w:r>
        <w:rPr>
          <w:lang w:val="en-US"/>
        </w:rPr>
        <w:t>4).</w:t>
      </w:r>
    </w:p>
    <w:p>
      <w:pPr>
        <w:pStyle w:val="ListParagraph"/>
        <w:numPr>
          <w:ilvl w:val="0"/>
          <w:numId w:val="1"/>
        </w:numPr>
        <w:rPr>
          <w:lang w:val="en-US"/>
        </w:rPr>
      </w:pPr>
      <w:r>
        <w:rPr>
          <w:lang w:val="en-US"/>
        </w:rPr>
        <w:t xml:space="preserve">H.Res.570 </w:t>
      </w:r>
      <w:r>
        <w:rPr>
          <w:rFonts w:eastAsia="Symbol" w:cs="Symbol" w:ascii="Symbol" w:hAnsi="Symbol"/>
          <w:lang w:val="en-US"/>
        </w:rPr>
        <w:t></w:t>
      </w:r>
      <w:r>
        <w:rPr>
          <w:lang w:val="en-US"/>
        </w:rPr>
        <w:t xml:space="preserve"> Affirming the historical connection of the Jewish people to the ancient and sacred city of Jerusalem and condemning efforts at the United Nations Educational, Scientific, and Cultural Organization (UNESCO) to deny Judaism's millennia-old historical, religious, and cultural ties to Jerusalem: 115th Congress (2017</w:t>
      </w:r>
      <w:r>
        <w:rPr>
          <w:rFonts w:eastAsia="Symbol" w:cs="Symbol" w:ascii="Symbol" w:hAnsi="Symbol"/>
          <w:lang w:val="en-US"/>
        </w:rPr>
        <w:t></w:t>
      </w:r>
      <w:r>
        <w:rPr>
          <w:lang w:val="en-US"/>
        </w:rPr>
        <w:t xml:space="preserve">2018) // Library of Congress. Available at: https://www.congress.gov/115/bills/hres570/BILLS-115hres570ih.pdf (accessed: </w:t>
      </w:r>
      <w:r>
        <w:rPr>
          <w:lang w:val="es-ES_tradnl"/>
        </w:rPr>
        <w:t>25.02.202</w:t>
      </w:r>
      <w:r>
        <w:rPr>
          <w:lang w:val="en-US"/>
        </w:rPr>
        <w:t>4).</w:t>
      </w:r>
    </w:p>
    <w:p>
      <w:pPr>
        <w:pStyle w:val="ListParagraph"/>
        <w:numPr>
          <w:ilvl w:val="0"/>
          <w:numId w:val="1"/>
        </w:numPr>
        <w:rPr>
          <w:lang w:val="en-US"/>
        </w:rPr>
      </w:pPr>
      <w:r>
        <w:rPr>
          <w:lang w:val="en-US"/>
        </w:rPr>
        <w:t xml:space="preserve">Impact on U.S. Scientific Research of Proposal to Withdraw from UNESCO: Hearings Before the Subcommittee on Natural Resources, Agriculture Research and Environment and the Subcommittee on Science, Research and Technology of the Committee on Science and Technology. U.S. House of Representatives, Ninety-Eighth Congress, Second Session, March 8, 15, 1984. Available at: https://books.google.ru/books?id=DpSt55jDKT4C&amp;newbks=0&amp;printsec=frontcover&amp;hl=ru&amp;source=gbs_ge_summary_r&amp;cad=0#v=onepage&amp;q&amp;f=false (accessed: </w:t>
      </w:r>
      <w:r>
        <w:rPr>
          <w:lang w:val="es-ES_tradnl"/>
        </w:rPr>
        <w:t>25.02.202</w:t>
      </w:r>
      <w:r>
        <w:rPr>
          <w:lang w:val="en-US"/>
        </w:rPr>
        <w:t>4).</w:t>
      </w:r>
    </w:p>
    <w:p>
      <w:pPr>
        <w:pStyle w:val="ListParagraph"/>
        <w:numPr>
          <w:ilvl w:val="0"/>
          <w:numId w:val="1"/>
        </w:numPr>
        <w:rPr>
          <w:lang w:val="en-US"/>
        </w:rPr>
      </w:pPr>
      <w:r>
        <w:rPr>
          <w:lang w:val="en-US"/>
        </w:rPr>
        <w:t xml:space="preserve">Nauert H. The United States withdraws from UNESCO: Press statement // U.S. Department of State. 12.10.2017. Available at: https://2017-2021.state.gov/the-united-states-withdraws-from-unesco/index.html (accessed: </w:t>
      </w:r>
      <w:r>
        <w:rPr>
          <w:lang w:val="es-ES_tradnl"/>
        </w:rPr>
        <w:t>25.02.202</w:t>
      </w:r>
      <w:r>
        <w:rPr>
          <w:lang w:val="en-US"/>
        </w:rPr>
        <w:t>4).</w:t>
      </w:r>
    </w:p>
    <w:p>
      <w:pPr>
        <w:pStyle w:val="ListParagraph"/>
        <w:numPr>
          <w:ilvl w:val="0"/>
          <w:numId w:val="1"/>
        </w:numPr>
        <w:rPr>
          <w:lang w:val="en-US"/>
        </w:rPr>
      </w:pPr>
      <w:r>
        <w:rPr>
          <w:lang w:val="en-US"/>
        </w:rPr>
        <w:t xml:space="preserve">NSC Memorandum of December 23, 1983 // Assessment of U.S.-UNESCO Relations, 1984: Report of a Stuff Study Mission to UNESCO-Paris to the Committee on Foreign Affairs House of Representatives, January 1985. P. 33. Available at: https://books.google.ru/books?id=NGxn-q74MoAC&amp;newbks=0&amp;printsec=frontcover&amp;hl=ru&amp;source=gbs_ge_summary_r&amp;cad=0#v=onepage&amp;q&amp;f=false (accessed: </w:t>
      </w:r>
      <w:r>
        <w:rPr>
          <w:lang w:val="es-ES_tradnl"/>
        </w:rPr>
        <w:t>25.02.202</w:t>
      </w:r>
      <w:r>
        <w:rPr>
          <w:lang w:val="en-US"/>
        </w:rPr>
        <w:t>4).</w:t>
      </w:r>
    </w:p>
    <w:p>
      <w:pPr>
        <w:pStyle w:val="ListParagraph"/>
        <w:numPr>
          <w:ilvl w:val="0"/>
          <w:numId w:val="1"/>
        </w:numPr>
        <w:rPr>
          <w:lang w:val="en-US"/>
        </w:rPr>
      </w:pPr>
      <w:r>
        <w:rPr>
          <w:lang w:val="en-US"/>
        </w:rPr>
        <w:t>UNESCO and Israel: COM.75/WS/10 // UNESDOC Digital Library. Available at: https://unesdoc.unesco.org/ark:/48223/pf0000013377?1=null&amp;queryId=7ee26a60-4fbd-4fa2-b1e4-5ff9fd43c837 (</w:t>
      </w:r>
      <w:r>
        <w:rPr>
          <w:lang w:val="es-ES_tradnl"/>
        </w:rPr>
        <w:t>accessed: 25.02.202</w:t>
      </w:r>
      <w:r>
        <w:rPr>
          <w:lang w:val="en-US"/>
        </w:rPr>
        <w:t>4).</w:t>
      </w:r>
    </w:p>
    <w:p>
      <w:pPr>
        <w:pStyle w:val="ListParagraph"/>
        <w:numPr>
          <w:ilvl w:val="0"/>
          <w:numId w:val="1"/>
        </w:numPr>
        <w:rPr>
          <w:lang w:val="en-US"/>
        </w:rPr>
      </w:pPr>
      <w:bookmarkStart w:id="1" w:name="_Toc112421869"/>
      <w:r>
        <w:rPr>
          <w:lang w:val="en-US"/>
        </w:rPr>
        <w:t>U.S. Withdrawal from UNESCO: Hearings Before the Subcommittees on Human Rights and on International Operations of the Committee on Foreign Affairs Ninety-Eighth Congress Second Session, April 25, 26, and May 2, 1984. P. 14</w:t>
      </w:r>
      <w:r>
        <w:rPr>
          <w:rFonts w:eastAsia="Symbol" w:cs="Symbol" w:ascii="Symbol" w:hAnsi="Symbol"/>
          <w:lang w:val="en-US"/>
        </w:rPr>
        <w:t></w:t>
      </w:r>
      <w:r>
        <w:rPr>
          <w:lang w:val="en-US"/>
        </w:rPr>
        <w:t xml:space="preserve">15. Available at: https://books.google.ru/books?id=yhRHw9Z8WSoC&amp;newbks=0&amp;printsec=frontcover&amp;hl=ru&amp;source=gbs_ge_summary_r&amp;cad=0#v=onepage&amp;q&amp;f=false (accessed: </w:t>
      </w:r>
      <w:r>
        <w:rPr>
          <w:lang w:val="es-ES_tradnl"/>
        </w:rPr>
        <w:t>25.02.202</w:t>
      </w:r>
      <w:r>
        <w:rPr>
          <w:lang w:val="en-US"/>
        </w:rPr>
        <w:t>4).</w:t>
      </w:r>
      <w:bookmarkEnd w:id="1"/>
    </w:p>
    <w:p>
      <w:pPr>
        <w:pStyle w:val="ListParagraph"/>
        <w:numPr>
          <w:ilvl w:val="0"/>
          <w:numId w:val="1"/>
        </w:numPr>
        <w:rPr>
          <w:lang w:val="en-US"/>
        </w:rPr>
      </w:pPr>
      <w:bookmarkStart w:id="2" w:name="_Hlk128094242"/>
      <w:r>
        <w:rPr>
          <w:lang w:val="en-US"/>
        </w:rPr>
        <w:t xml:space="preserve">U.S. Withdrawal from UNESCO: Report of a Staff Study Mission February 10-23, 1984 to the Committee on Foreign Affairs U.S. House of Representatives, April 1984. P. 26. Available at: https://books.google.ru/books?id=x3GmQU6yfk8C&amp;newbks=0&amp;printsec=frontcover&amp;hl=ru&amp;source=gbs_ge_summary_r&amp;cad=0#v=onepage&amp;q&amp;f=false (accessed: </w:t>
      </w:r>
      <w:r>
        <w:rPr>
          <w:lang w:val="es-ES_tradnl"/>
        </w:rPr>
        <w:t>25.02.202</w:t>
      </w:r>
      <w:r>
        <w:rPr>
          <w:lang w:val="en-US"/>
        </w:rPr>
        <w:t>4).</w:t>
      </w:r>
      <w:bookmarkEnd w:id="2"/>
    </w:p>
    <w:p>
      <w:pPr>
        <w:pStyle w:val="ListParagraph"/>
        <w:numPr>
          <w:ilvl w:val="0"/>
          <w:numId w:val="1"/>
        </w:numPr>
        <w:spacing w:before="0" w:after="160"/>
        <w:contextualSpacing/>
        <w:rPr>
          <w:lang w:val="en-US"/>
        </w:rPr>
      </w:pPr>
      <w:r>
        <w:rPr>
          <w:lang w:val="en-US"/>
        </w:rPr>
        <w:t xml:space="preserve">Wayne M. The AIPAC caucus in the United Nations // Strategic Culture Foundation. 18.11.2011. Available at: https://strategic-culture.org/news/2011/11/18/the-aipac-caucus-in-the-united-nations/ (accessed: </w:t>
      </w:r>
      <w:r>
        <w:rPr>
          <w:lang w:val="es-ES_tradnl"/>
        </w:rPr>
        <w:t>25.02.202</w:t>
      </w:r>
      <w:r>
        <w:rPr>
          <w:lang w:val="en-US"/>
        </w:rPr>
        <w:t>4).</w:t>
      </w:r>
    </w:p>
    <w:sectPr>
      <w:type w:val="nextPage"/>
      <w:pgSz w:w="11906" w:h="16838"/>
      <w:pgMar w:left="1701" w:right="850" w:gutter="0" w:header="0" w:top="1134" w:footer="0" w:bottom="113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Liberation Sans">
    <w:altName w:val="Arial"/>
    <w:charset w:val="01"/>
    <w:family w:val="swiss"/>
    <w:pitch w:val="variable"/>
  </w:font>
  <w:font w:name="Times New Roman">
    <w:altName w:val="serif"/>
    <w:charset w:val="01"/>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3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082f75"/>
    <w:pPr>
      <w:widowControl/>
      <w:bidi w:val="0"/>
      <w:spacing w:lineRule="auto" w:line="259" w:before="0" w:after="160"/>
      <w:jc w:val="both"/>
    </w:pPr>
    <w:rPr>
      <w:rFonts w:ascii="Times New Roman" w:hAnsi="Times New Roman" w:eastAsia="Calibri" w:cs="" w:cstheme="minorBidi" w:eastAsiaTheme="minorHAnsi"/>
      <w:color w:val="auto"/>
      <w:kern w:val="0"/>
      <w:sz w:val="24"/>
      <w:szCs w:val="22"/>
      <w:lang w:val="ru-RU" w:eastAsia="en-US" w:bidi="ar-SA"/>
    </w:rPr>
  </w:style>
  <w:style w:type="character" w:styleId="DefaultParagraphFont" w:default="1">
    <w:name w:val="Default Paragraph Font"/>
    <w:uiPriority w:val="1"/>
    <w:unhideWhenUsed/>
    <w:qFormat/>
    <w:rPr/>
  </w:style>
  <w:style w:type="character" w:styleId="Style14" w:customStyle="1">
    <w:name w:val="Текст сноски Знак"/>
    <w:basedOn w:val="DefaultParagraphFont"/>
    <w:uiPriority w:val="99"/>
    <w:qFormat/>
    <w:rsid w:val="0087545a"/>
    <w:rPr>
      <w:rFonts w:ascii="Times New Roman" w:hAnsi="Times New Roman"/>
      <w:sz w:val="20"/>
      <w:szCs w:val="20"/>
    </w:rPr>
  </w:style>
  <w:style w:type="character" w:styleId="Style15">
    <w:name w:val="Символ сноски"/>
    <w:basedOn w:val="DefaultParagraphFont"/>
    <w:uiPriority w:val="99"/>
    <w:unhideWhenUsed/>
    <w:qFormat/>
    <w:rsid w:val="0087545a"/>
    <w:rPr>
      <w:vertAlign w:val="superscript"/>
    </w:rPr>
  </w:style>
  <w:style w:type="character" w:styleId="Style16">
    <w:name w:val="Привязка сноски"/>
    <w:rPr>
      <w:vertAlign w:val="superscript"/>
    </w:rPr>
  </w:style>
  <w:style w:type="character" w:styleId="Style17">
    <w:name w:val="Интернет-ссылка"/>
    <w:basedOn w:val="DefaultParagraphFont"/>
    <w:uiPriority w:val="99"/>
    <w:unhideWhenUsed/>
    <w:rsid w:val="0087545a"/>
    <w:rPr>
      <w:color w:val="0563C1" w:themeColor="hyperlink"/>
      <w:u w:val="single"/>
    </w:rPr>
  </w:style>
  <w:style w:type="character" w:styleId="UnresolvedMention">
    <w:name w:val="Unresolved Mention"/>
    <w:basedOn w:val="DefaultParagraphFont"/>
    <w:uiPriority w:val="99"/>
    <w:semiHidden/>
    <w:unhideWhenUsed/>
    <w:qFormat/>
    <w:rsid w:val="00210d62"/>
    <w:rPr>
      <w:color w:val="605E5C"/>
      <w:shd w:fill="E1DFDD" w:val="clear"/>
    </w:rPr>
  </w:style>
  <w:style w:type="character" w:styleId="Style18">
    <w:name w:val="Посещённая гиперссылка"/>
    <w:basedOn w:val="DefaultParagraphFont"/>
    <w:uiPriority w:val="99"/>
    <w:semiHidden/>
    <w:unhideWhenUsed/>
    <w:rsid w:val="00241ae3"/>
    <w:rPr>
      <w:color w:val="954F72" w:themeColor="followedHyperlink"/>
      <w:u w:val="single"/>
    </w:rPr>
  </w:style>
  <w:style w:type="paragraph" w:styleId="Style19">
    <w:name w:val="Заголовок"/>
    <w:basedOn w:val="Normal"/>
    <w:next w:val="Style20"/>
    <w:qFormat/>
    <w:pPr>
      <w:keepNext w:val="true"/>
      <w:spacing w:before="240" w:after="120"/>
    </w:pPr>
    <w:rPr>
      <w:rFonts w:ascii="Liberation Sans" w:hAnsi="Liberation Sans" w:eastAsia="Noto Sans CJK SC" w:cs="Lohit Devanagari"/>
      <w:sz w:val="28"/>
      <w:szCs w:val="28"/>
    </w:rPr>
  </w:style>
  <w:style w:type="paragraph" w:styleId="Style20">
    <w:name w:val="Body Text"/>
    <w:basedOn w:val="Normal"/>
    <w:pPr>
      <w:spacing w:lineRule="auto" w:line="276" w:before="0" w:after="140"/>
    </w:pPr>
    <w:rPr/>
  </w:style>
  <w:style w:type="paragraph" w:styleId="Style21">
    <w:name w:val="List"/>
    <w:basedOn w:val="Style20"/>
    <w:pPr/>
    <w:rPr>
      <w:rFonts w:cs="Lohit Devanagari"/>
    </w:rPr>
  </w:style>
  <w:style w:type="paragraph" w:styleId="Style22">
    <w:name w:val="Caption"/>
    <w:basedOn w:val="Normal"/>
    <w:qFormat/>
    <w:pPr>
      <w:suppressLineNumbers/>
      <w:spacing w:before="120" w:after="120"/>
    </w:pPr>
    <w:rPr>
      <w:rFonts w:cs="Lohit Devanagari"/>
      <w:i/>
      <w:iCs/>
      <w:sz w:val="24"/>
      <w:szCs w:val="24"/>
    </w:rPr>
  </w:style>
  <w:style w:type="paragraph" w:styleId="Style23">
    <w:name w:val="Указатель"/>
    <w:basedOn w:val="Normal"/>
    <w:qFormat/>
    <w:pPr>
      <w:suppressLineNumbers/>
    </w:pPr>
    <w:rPr>
      <w:rFonts w:cs="Lohit Devanagari"/>
    </w:rPr>
  </w:style>
  <w:style w:type="paragraph" w:styleId="Style24">
    <w:name w:val="Footnote Text"/>
    <w:basedOn w:val="Normal"/>
    <w:link w:val="Style14"/>
    <w:uiPriority w:val="99"/>
    <w:unhideWhenUsed/>
    <w:rsid w:val="0087545a"/>
    <w:pPr>
      <w:spacing w:lineRule="auto" w:line="240" w:before="0" w:after="0"/>
    </w:pPr>
    <w:rPr>
      <w:sz w:val="20"/>
      <w:szCs w:val="20"/>
    </w:rPr>
  </w:style>
  <w:style w:type="paragraph" w:styleId="ListParagraph">
    <w:name w:val="List Paragraph"/>
    <w:basedOn w:val="Normal"/>
    <w:uiPriority w:val="34"/>
    <w:qFormat/>
    <w:rsid w:val="00806d3d"/>
    <w:pPr>
      <w:spacing w:before="0" w:after="160"/>
      <w:ind w:left="720" w:hanging="0"/>
      <w:contextualSpacing/>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097503-3935-429B-ACEB-457C113AFD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381</TotalTime>
  <Application>LibreOffice/7.3.7.2$Linux_X86_64 LibreOffice_project/30$Build-2</Application>
  <AppVersion>15.0000</AppVersion>
  <Pages>3</Pages>
  <Words>1019</Words>
  <Characters>7514</Characters>
  <CharactersWithSpaces>8495</CharactersWithSpaces>
  <Paragraphs>23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2024-02-28T07:37:00Z</dcterms:created>
  <dc:creator>Авдеев Богдан</dc:creator>
  <dc:description/>
  <dc:language>ru-RU</dc:language>
  <cp:lastModifiedBy/>
  <dcterms:modified xsi:type="dcterms:W3CDTF">2024-04-20T14:56:07Z</dcterms:modified>
  <cp:revision>10</cp:revision>
  <dc:subject/>
  <dc:title/>
</cp:coreProperties>
</file>

<file path=docProps/custom.xml><?xml version="1.0" encoding="utf-8"?>
<Properties xmlns="http://schemas.openxmlformats.org/officeDocument/2006/custom-properties" xmlns:vt="http://schemas.openxmlformats.org/officeDocument/2006/docPropsVTypes"/>
</file>