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"/>
        <w:jc w:val="righ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w w:val="90"/>
          <w:sz w:val="24"/>
          <w:szCs w:val="24"/>
        </w:rPr>
        <w:t>Секция</w:t>
      </w:r>
      <w:r>
        <w:rPr>
          <w:rFonts w:hint="default" w:ascii="Times New Roman" w:hAnsi="Times New Roman" w:cs="Times New Roman"/>
          <w:i w:val="0"/>
          <w:iCs w:val="0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w w:val="90"/>
          <w:sz w:val="24"/>
          <w:szCs w:val="24"/>
        </w:rPr>
        <w:t>&lt;Международные</w:t>
      </w:r>
      <w:r>
        <w:rPr>
          <w:rFonts w:hint="default" w:ascii="Times New Roman" w:hAnsi="Times New Roman" w:cs="Times New Roman"/>
          <w:i w:val="0"/>
          <w:iCs w:val="0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2"/>
          <w:w w:val="90"/>
          <w:sz w:val="24"/>
          <w:szCs w:val="24"/>
        </w:rPr>
        <w:t>коммуникации&gt;</w:t>
      </w:r>
    </w:p>
    <w:p>
      <w:pPr>
        <w:spacing w:before="213"/>
        <w:ind w:left="136" w:right="139" w:firstLine="0"/>
        <w:jc w:val="center"/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en-US" w:eastAsia="zh-CN"/>
        </w:rPr>
        <w:t>Сетевые университеты как инструмент мягкой силы (на примере университетов БРИКС)</w:t>
      </w:r>
    </w:p>
    <w:p>
      <w:pPr>
        <w:spacing w:before="213"/>
        <w:ind w:left="136" w:right="139" w:firstLine="0"/>
        <w:jc w:val="center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Научный</w:t>
      </w:r>
      <w:r>
        <w:rPr>
          <w:rFonts w:hint="default" w:ascii="Times New Roman" w:hAnsi="Times New Roman" w:cs="Times New Roman"/>
          <w:b/>
          <w:i w:val="0"/>
          <w:iCs w:val="0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руководитель</w:t>
      </w:r>
      <w:r>
        <w:rPr>
          <w:rFonts w:hint="default" w:ascii="Times New Roman" w:hAnsi="Times New Roman" w:cs="Times New Roman"/>
          <w:b/>
          <w:i w:val="0"/>
          <w:iCs w:val="0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–</w:t>
      </w:r>
      <w:r>
        <w:rPr>
          <w:rFonts w:hint="default" w:ascii="Times New Roman" w:hAnsi="Times New Roman" w:cs="Times New Roman"/>
          <w:b/>
          <w:i w:val="0"/>
          <w:iCs w:val="0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Гладченко</w:t>
      </w:r>
      <w:r>
        <w:rPr>
          <w:rFonts w:hint="default" w:ascii="Times New Roman" w:hAnsi="Times New Roman" w:cs="Times New Roman"/>
          <w:b/>
          <w:i w:val="0"/>
          <w:iCs w:val="0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Ирина</w:t>
      </w:r>
      <w:r>
        <w:rPr>
          <w:rFonts w:hint="default" w:ascii="Times New Roman" w:hAnsi="Times New Roman" w:cs="Times New Roman"/>
          <w:b/>
          <w:i w:val="0"/>
          <w:iCs w:val="0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pacing w:val="-2"/>
          <w:sz w:val="24"/>
          <w:szCs w:val="24"/>
        </w:rPr>
        <w:t>Алексеевна</w:t>
      </w:r>
    </w:p>
    <w:p>
      <w:pPr>
        <w:spacing w:before="117" w:line="289" w:lineRule="exact"/>
        <w:ind w:left="119" w:right="141" w:firstLine="0"/>
        <w:jc w:val="center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w w:val="110"/>
          <w:sz w:val="24"/>
          <w:szCs w:val="24"/>
          <w:lang w:val="ru-RU"/>
        </w:rPr>
        <w:t>Лу Синьжун</w:t>
      </w:r>
      <w:r>
        <w:rPr>
          <w:rFonts w:hint="default" w:ascii="Times New Roman" w:hAnsi="Times New Roman" w:cs="Times New Roman"/>
          <w:b/>
          <w:i w:val="0"/>
          <w:iCs w:val="0"/>
          <w:w w:val="110"/>
          <w:sz w:val="24"/>
          <w:szCs w:val="24"/>
        </w:rPr>
        <w:t xml:space="preserve"> </w:t>
      </w:r>
    </w:p>
    <w:p>
      <w:pPr>
        <w:spacing w:before="0" w:line="285" w:lineRule="exact"/>
        <w:ind w:left="130" w:right="141" w:firstLine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w w:val="105"/>
          <w:sz w:val="24"/>
          <w:szCs w:val="24"/>
        </w:rPr>
        <w:t>Студент</w:t>
      </w:r>
      <w:r>
        <w:rPr>
          <w:rFonts w:hint="default" w:ascii="Times New Roman" w:hAnsi="Times New Roman" w:cs="Times New Roman"/>
          <w:i w:val="0"/>
          <w:iCs w:val="0"/>
          <w:spacing w:val="-6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2"/>
          <w:w w:val="105"/>
          <w:sz w:val="24"/>
          <w:szCs w:val="24"/>
        </w:rPr>
        <w:t>(магистр)</w:t>
      </w:r>
    </w:p>
    <w:p>
      <w:pPr>
        <w:pStyle w:val="2"/>
        <w:spacing w:before="3" w:line="232" w:lineRule="auto"/>
        <w:ind w:left="136" w:right="141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pacing w:val="-8"/>
          <w:sz w:val="24"/>
          <w:szCs w:val="24"/>
        </w:rPr>
        <w:t>Московский</w:t>
      </w:r>
      <w:r>
        <w:rPr>
          <w:rFonts w:hint="default" w:ascii="Times New Roman" w:hAnsi="Times New Roman" w:cs="Times New Roman"/>
          <w:i w:val="0"/>
          <w:i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8"/>
          <w:sz w:val="24"/>
          <w:szCs w:val="24"/>
        </w:rPr>
        <w:t>государственный</w:t>
      </w:r>
      <w:r>
        <w:rPr>
          <w:rFonts w:hint="default" w:ascii="Times New Roman" w:hAnsi="Times New Roman" w:cs="Times New Roman"/>
          <w:i w:val="0"/>
          <w:i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8"/>
          <w:sz w:val="24"/>
          <w:szCs w:val="24"/>
        </w:rPr>
        <w:t>университет</w:t>
      </w:r>
      <w:r>
        <w:rPr>
          <w:rFonts w:hint="default" w:ascii="Times New Roman" w:hAnsi="Times New Roman" w:cs="Times New Roman"/>
          <w:i w:val="0"/>
          <w:i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8"/>
          <w:sz w:val="24"/>
          <w:szCs w:val="24"/>
        </w:rPr>
        <w:t>имени</w:t>
      </w:r>
      <w:r>
        <w:rPr>
          <w:rFonts w:hint="default" w:ascii="Times New Roman" w:hAnsi="Times New Roman" w:cs="Times New Roman"/>
          <w:i w:val="0"/>
          <w:i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8"/>
          <w:sz w:val="24"/>
          <w:szCs w:val="24"/>
        </w:rPr>
        <w:t>М.В.Ломоносова,</w:t>
      </w:r>
      <w:r>
        <w:rPr>
          <w:rFonts w:hint="default" w:ascii="Times New Roman" w:hAnsi="Times New Roman" w:cs="Times New Roman"/>
          <w:i w:val="0"/>
          <w:i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8"/>
          <w:sz w:val="24"/>
          <w:szCs w:val="24"/>
        </w:rPr>
        <w:t>Факультет</w:t>
      </w:r>
      <w:r>
        <w:rPr>
          <w:rFonts w:hint="default" w:ascii="Times New Roman" w:hAnsi="Times New Roman" w:cs="Times New Roman"/>
          <w:i w:val="0"/>
          <w:i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8"/>
          <w:sz w:val="24"/>
          <w:szCs w:val="24"/>
        </w:rPr>
        <w:t xml:space="preserve">мировой </w:t>
      </w:r>
      <w:r>
        <w:rPr>
          <w:rFonts w:hint="default" w:ascii="Times New Roman" w:hAnsi="Times New Roman" w:cs="Times New Roman"/>
          <w:i w:val="0"/>
          <w:iCs w:val="0"/>
          <w:spacing w:val="-4"/>
          <w:sz w:val="24"/>
          <w:szCs w:val="24"/>
        </w:rPr>
        <w:t>политики,</w:t>
      </w:r>
      <w:r>
        <w:rPr>
          <w:rFonts w:hint="default" w:ascii="Times New Roman" w:hAnsi="Times New Roman" w:cs="Times New Roman"/>
          <w:i w:val="0"/>
          <w:iCs w:val="0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4"/>
          <w:sz w:val="24"/>
          <w:szCs w:val="24"/>
        </w:rPr>
        <w:t>Кафедра</w:t>
      </w:r>
      <w:r>
        <w:rPr>
          <w:rFonts w:hint="default" w:ascii="Times New Roman" w:hAnsi="Times New Roman" w:cs="Times New Roman"/>
          <w:i w:val="0"/>
          <w:iCs w:val="0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auto"/>
          <w:spacing w:val="-4"/>
          <w:sz w:val="24"/>
          <w:szCs w:val="24"/>
        </w:rPr>
        <w:t>международной</w:t>
      </w:r>
      <w:r>
        <w:rPr>
          <w:rFonts w:hint="default" w:ascii="Times New Roman" w:hAnsi="Times New Roman" w:cs="Times New Roman"/>
          <w:i w:val="0"/>
          <w:iCs w:val="0"/>
          <w:color w:val="auto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auto"/>
          <w:spacing w:val="-4"/>
          <w:sz w:val="24"/>
          <w:szCs w:val="24"/>
        </w:rPr>
        <w:t>коммуникации,</w:t>
      </w:r>
      <w:r>
        <w:rPr>
          <w:rFonts w:hint="default" w:ascii="Times New Roman" w:hAnsi="Times New Roman" w:cs="Times New Roman"/>
          <w:i w:val="0"/>
          <w:iCs w:val="0"/>
          <w:color w:val="auto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4"/>
          <w:sz w:val="24"/>
          <w:szCs w:val="24"/>
        </w:rPr>
        <w:t>Москва,</w:t>
      </w:r>
      <w:r>
        <w:rPr>
          <w:rFonts w:hint="default" w:ascii="Times New Roman" w:hAnsi="Times New Roman" w:cs="Times New Roman"/>
          <w:i w:val="0"/>
          <w:iCs w:val="0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4"/>
          <w:sz w:val="24"/>
          <w:szCs w:val="24"/>
        </w:rPr>
        <w:t>Россия</w:t>
      </w: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E-mail: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>LXR2351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@outlook.com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Джозеф Най, основоположник концепции и теории "мягкой силы", рассматривал международное образование как основной вклад в "мягкую силу" страны, поскольку иностранные студенты и академические обмены распространяют ценности и усиливают влияние и дискурс, а "развитие долгосрочных отношений с людьми посредством стипендий, обменов, тренингов и научных конференций" считал одним из аспектов публичной дипломатии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[</w:t>
      </w:r>
      <w:r>
        <w:rPr>
          <w:rFonts w:hint="eastAsia" w:ascii="Times New Roman" w:hAnsi="Times New Roman" w:cs="Times New Roman"/>
          <w:spacing w:val="-2"/>
          <w:lang w:val="en-US" w:eastAsia="zh-CN"/>
        </w:rPr>
        <w:t>1</w:t>
      </w:r>
      <w:r>
        <w:rPr>
          <w:rFonts w:hint="default" w:ascii="Times New Roman" w:hAnsi="Times New Roman" w:cs="Times New Roman"/>
          <w:spacing w:val="-2"/>
        </w:rPr>
        <w:t>]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. Международное образование - это, по сути, глобальная реорганизация и распределение образовательных ресурсов, что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оказывает глубокое воздействие на общую "мягкую силу" страны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[</w:t>
      </w:r>
      <w:r>
        <w:rPr>
          <w:rFonts w:hint="eastAsia" w:ascii="Times New Roman" w:hAnsi="Times New Roman" w:cs="Times New Roman"/>
          <w:spacing w:val="-2"/>
          <w:lang w:val="en-US" w:eastAsia="zh-CN"/>
        </w:rPr>
        <w:t>2</w:t>
      </w:r>
      <w:r>
        <w:rPr>
          <w:rFonts w:hint="default" w:ascii="Times New Roman" w:hAnsi="Times New Roman" w:cs="Times New Roman"/>
          <w:spacing w:val="-2"/>
        </w:rPr>
        <w:t>]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Сетевой университет БРИКС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 w:eastAsia="zh-CN"/>
        </w:rPr>
        <w:t xml:space="preserve"> -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это вариант традиционного онлайн-университета.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Появление онлайн-университетов разрушает временные и пространстве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en-US" w:eastAsia="zh-CN"/>
        </w:rPr>
        <w:t xml:space="preserve">нные ограничения традиционных университетов, а студенты могут получить доступ к различным образовательным ресурсам через Интернет. Сетевой университет БРИКС - это объединение пяти стран (Китая, России, Индии, Бразилии и ЮАР), 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en-US" w:eastAsia="zh-CN"/>
        </w:rPr>
        <w:t xml:space="preserve">которые, дополняя друг друга, формируют новый совместный университет высокого уровня, похожий на сеть.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highlight w:val="none"/>
          <w:lang w:val="ru-RU" w:eastAsia="zh-CN"/>
        </w:rPr>
        <w:t>«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en-US" w:eastAsia="zh-CN"/>
        </w:rPr>
        <w:t xml:space="preserve">Как новый тип открытой и совместной университетской сети, основная особенность и преимущество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ru-RU" w:eastAsia="zh-CN"/>
        </w:rPr>
        <w:t>с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en-US" w:eastAsia="zh-CN"/>
        </w:rPr>
        <w:t>етевого университета БРИКС заключается в прочном альянсе для осуществления сотрудничества в области образования, научных исследований и инноваций, а также для расширения культурного общения и обменов между молодым поколением стран БРИКС, чтобы в полной мере реализовать все более важную роль высшего образования в принятии стратегических решений страны и развитии стран с формирующейся экономикой. Образование является важным компонентом "мягкой силы" и играет важную роль в политической, экономической и культурной сферах, а также в построении отношений между странами и регионами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highlight w:val="none"/>
          <w:lang w:val="ru-RU" w:eastAsia="zh-CN"/>
        </w:rPr>
        <w:t>»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en-US" w:eastAsia="zh-CN"/>
        </w:rPr>
        <w:t>[3]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ru-RU" w:eastAsia="zh-CN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en-US" w:eastAsia="zh-CN"/>
        </w:rPr>
        <w:t>Модель сетевого университета БРИКС отличается от традиционных международных образовательных обменов и в большей степени ориентирована на эффективное использование академических ресурсов высшего образования, содействие промышленному и технологическому развитию и повышение национальной конкурентоспособности.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ru-RU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en-US" w:eastAsia="zh-CN"/>
        </w:rPr>
        <w:t>Сетевые университеты БРИКС весьма эффективно предоставляют 56 странам-участницам транснациональные и междисциплинарные исследовательские услуги в шести приоритетных областях знаний для сотрудничества: энергетика, информатика и информационная безопасность, исследования БРИКС, экология и изменение климата, управление водными ресурсами и загрязнением окружающей среды, экономика, а также способствуют развитию высшего образования в соответствующих странах БРИКС.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Для того чтобы более глубоко проанализировать роль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етевого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университета БРИКС как инструмента мягкой силы, необходимо дать определение "образовательной мягкой силы".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"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ягкая сила"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в образовании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- это привлекательность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страны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и влияние образовательного развития страны на другие страны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Н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еобходимо сформулировать определение  "мягкой силы" в образовании и построить структуру для анализа пяти элементов: ценностной, институциональной, политической, инновационной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и коммуникационной силы в образовании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 [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</w:rPr>
        <w:t>]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 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  <w:highlight w:val="cya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Таким образом,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необходимо изучить следующие аспекты: выбор предметов, учебный план, качество образования и различные виды деятельности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ru-RU"/>
        </w:rPr>
        <w:t>с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</w:rPr>
        <w:t>етевого университета БРИКС.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Оптимизация и улучшение этих аспектов поможет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етевому университету БРИКС лучше играть свою роль в укреплении национальной культурной "мягкой силы".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Мы можем сделать это, проанализировав, что отличает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ru-RU"/>
        </w:rPr>
        <w:t>с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етевой университет БРИКС от других международных образовательных программ. Оценив "мягкую силу" стран-участниц и их общее влияние, мы можем изучить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ru-RU"/>
        </w:rPr>
        <w:t>с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</w:rPr>
        <w:t>етевой университет БРИКС как инструмент укрепления "мягкой силы".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Исследования университетов БРИКС в Китае были посвящены сотрудничеству БРИКС и модели развития талантов в онлайн-университетах БРИКС (например, между Уральским федеральным университетом в России и Северо-Китайским университетом водных ресурсов и гидроэнергетики), и все они были направлены на анализ влияния взаимодействия между странами. Исследования,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посвящённые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сетевым университетам БРИКС как инструменту "мягкой силы", ограничены.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Как инструмент "мягкой силы",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етевой университет БРИКС не только способствует развитию образовательных ресурсов и культурных обменов, но и воспитывает таланты с международным мировоззрением и конкурентоспособностью, вливая новые силы в экономическое развитие различных стран. Однако для того, чтобы в полной мере реализовать потенциал "мягкой силы", необходимо и дальше укреплять сотрудничество и обмены, чтобы совместно решать глобальные проблемы и способствовать построению сообщества человеческой судьбы.</w:t>
      </w: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 w:eastAsia="zh-CN"/>
        </w:rPr>
        <w:br w:type="page"/>
      </w:r>
    </w:p>
    <w:p>
      <w:pPr>
        <w:spacing w:line="360" w:lineRule="auto"/>
        <w:jc w:val="center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 w:eastAsia="zh-CN"/>
        </w:rPr>
        <w:t>Источники и литература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Nye, Joseph S.. “Soft Power: The Means To Success In World Politics” (2004).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Zhang Lin. International Education as a Currency of Soft Power [J]. Journal of East China Normal University (Education Science Edition), 2023,(09): 122-137.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GB" w:eastAsia="zh-CN"/>
        </w:rPr>
        <w:t>I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>n Chinese)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Gao Changzheng,Tian Weili,Liu Jiaqi. Discussion on talent cultivation mode of BRICS online universities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[J]. Higher Architectural Education,2020,(06):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54-60.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GB" w:eastAsia="zh-CN"/>
        </w:rPr>
        <w:t>I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>n Chinese)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Hu Xiyun, Liu Baocun. China's Educational Soft Power in the Perspective of International Comparison [J]. Education Research, 2021,(10): 93-103.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GB" w:eastAsia="zh-CN"/>
        </w:rPr>
        <w:t>I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>n Chinese)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"/>
      <w:ind w:left="20" w:right="0" w:firstLine="0"/>
      <w:jc w:val="left"/>
      <w:rPr>
        <w:rFonts w:hint="default" w:ascii="Times New Roman" w:hAnsi="Times New Roman" w:cs="Times New Roman"/>
        <w:i/>
        <w:sz w:val="24"/>
        <w:szCs w:val="24"/>
      </w:rPr>
    </w:pPr>
    <w:r>
      <w:rPr>
        <w:rFonts w:hint="default" w:ascii="Times New Roman" w:hAnsi="Times New Roman" w:cs="Times New Roman"/>
        <w:i/>
        <w:sz w:val="24"/>
        <w:szCs w:val="24"/>
      </w:rPr>
      <w:t>Конференция</w:t>
    </w:r>
    <w:r>
      <w:rPr>
        <w:rFonts w:hint="default" w:ascii="Times New Roman" w:hAnsi="Times New Roman" w:cs="Times New Roman"/>
        <w:i/>
        <w:spacing w:val="63"/>
        <w:w w:val="150"/>
        <w:sz w:val="24"/>
        <w:szCs w:val="24"/>
      </w:rPr>
      <w:t xml:space="preserve"> </w:t>
    </w:r>
    <w:r>
      <w:rPr>
        <w:rFonts w:hint="default" w:ascii="Times New Roman" w:hAnsi="Times New Roman" w:cs="Times New Roman"/>
        <w:i/>
        <w:sz w:val="24"/>
        <w:szCs w:val="24"/>
      </w:rPr>
      <w:t>«Ломоносов-</w:t>
    </w:r>
    <w:r>
      <w:rPr>
        <w:rFonts w:hint="default" w:ascii="Times New Roman" w:hAnsi="Times New Roman" w:cs="Times New Roman"/>
        <w:i/>
        <w:spacing w:val="-2"/>
        <w:sz w:val="24"/>
        <w:szCs w:val="24"/>
      </w:rPr>
      <w:t>202</w:t>
    </w:r>
    <w:r>
      <w:rPr>
        <w:rFonts w:hint="eastAsia" w:ascii="Times New Roman" w:hAnsi="Times New Roman" w:cs="Times New Roman"/>
        <w:i/>
        <w:spacing w:val="-2"/>
        <w:sz w:val="24"/>
        <w:szCs w:val="24"/>
        <w:lang w:val="en-US" w:eastAsia="zh-CN"/>
      </w:rPr>
      <w:t>4</w:t>
    </w:r>
    <w:r>
      <w:rPr>
        <w:rFonts w:hint="default" w:ascii="Times New Roman" w:hAnsi="Times New Roman" w:cs="Times New Roman"/>
        <w:i/>
        <w:spacing w:val="-2"/>
        <w:sz w:val="24"/>
        <w:szCs w:val="24"/>
      </w:rPr>
      <w:t>»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24DE9"/>
    <w:multiLevelType w:val="singleLevel"/>
    <w:tmpl w:val="D7324DE9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0A03B75"/>
    <w:rsid w:val="01043138"/>
    <w:rsid w:val="031A2823"/>
    <w:rsid w:val="035B108E"/>
    <w:rsid w:val="047D0E0B"/>
    <w:rsid w:val="048C6748"/>
    <w:rsid w:val="072D79EB"/>
    <w:rsid w:val="07963981"/>
    <w:rsid w:val="0C4A13B6"/>
    <w:rsid w:val="0E1E68C5"/>
    <w:rsid w:val="11B71760"/>
    <w:rsid w:val="13C30BF9"/>
    <w:rsid w:val="17984B73"/>
    <w:rsid w:val="1BB85820"/>
    <w:rsid w:val="1DCC43C5"/>
    <w:rsid w:val="20A5599E"/>
    <w:rsid w:val="255D6C3D"/>
    <w:rsid w:val="2649655F"/>
    <w:rsid w:val="29EC5F60"/>
    <w:rsid w:val="2A3F3887"/>
    <w:rsid w:val="30E03740"/>
    <w:rsid w:val="335A42E8"/>
    <w:rsid w:val="350257BB"/>
    <w:rsid w:val="35B63375"/>
    <w:rsid w:val="36946BC1"/>
    <w:rsid w:val="372B2349"/>
    <w:rsid w:val="3CFA2C1C"/>
    <w:rsid w:val="425A7E46"/>
    <w:rsid w:val="43C732BE"/>
    <w:rsid w:val="45E0774E"/>
    <w:rsid w:val="48D35608"/>
    <w:rsid w:val="498F443F"/>
    <w:rsid w:val="554250E6"/>
    <w:rsid w:val="57DF6C7D"/>
    <w:rsid w:val="5E874207"/>
    <w:rsid w:val="689615CB"/>
    <w:rsid w:val="6C0622FF"/>
    <w:rsid w:val="72972F02"/>
    <w:rsid w:val="766F4706"/>
    <w:rsid w:val="7D99673D"/>
    <w:rsid w:val="7EC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"/>
      <w:jc w:val="both"/>
    </w:pPr>
    <w:rPr>
      <w:rFonts w:ascii="Book Antiqua" w:hAnsi="Book Antiqua" w:eastAsia="Book Antiqua" w:cs="Book Antiqua"/>
      <w:sz w:val="24"/>
      <w:szCs w:val="24"/>
      <w:lang w:val="ru-RU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2021-04-20T13:16:00Z</dcterms:created>
  <dc:creator>thefa</dc:creator>
  <cp:lastModifiedBy>果酱</cp:lastModifiedBy>
  <dcterms:modified xsi:type="dcterms:W3CDTF">2024-02-13T11:58:03Z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73A2ADBDDCC04108BEB21DC88AC3C9EC_13</vt:lpwstr>
  </property>
</Properties>
</file>