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auto" w:line="276" w:beforeAutospacing="0" w:before="0" w:afterAutospacing="0" w:after="0"/>
        <w:ind w:firstLine="709"/>
        <w:jc w:val="center"/>
        <w:rPr>
          <w:b w:val="false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Киберпреступность как новая угроза международной безопасности</w:t>
      </w:r>
    </w:p>
    <w:p>
      <w:pPr>
        <w:pStyle w:val="Style18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Карасева Д.М.</w:t>
      </w:r>
    </w:p>
    <w:p>
      <w:pPr>
        <w:pStyle w:val="Style18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городской университет управления Правительства Москвы, Студент (бакалавр), 2024</w:t>
      </w:r>
    </w:p>
    <w:p>
      <w:pPr>
        <w:pStyle w:val="Style18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dashakara@yandex.ru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color w:val="000000"/>
        </w:rPr>
      </w:pPr>
      <w:r>
        <w:rPr/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Сегодня цифровая трансформация дипломатии, экономического развития и сотрудничества, а также других глобальных процессов ставит во главу угла вопросы международной безопасности. Наиболее острая проблема в этой связи – киберпреступность. Возможности несанкционированного доступа, широкий доступ к информации, удобство использования и неограниченное количество данных различного уровня конфиденциальности способствуют возникновению благоприятных условий для неправомерных действий в киберпространстве. Киберпреступность является критической угрозой для информационной безопасности государств [4], особенно злободневной данная тема воспринимается на международном уровне, когда происходит кража крупных сумм денег, баз данных с информацией о гражданах, и </w:t>
      </w:r>
      <w:r>
        <w:rPr>
          <w:color w:val="000000"/>
          <w:lang w:val="en-US"/>
        </w:rPr>
        <w:t>NFT</w:t>
      </w:r>
      <w:r>
        <w:rPr>
          <w:color w:val="000000"/>
        </w:rPr>
        <w:t>-собственности, взламывают стратегически важные информационные системы с целью кражи информации особой важности.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Например, в последние годы растет </w:t>
      </w:r>
      <w:r>
        <w:rPr>
          <w:rFonts w:eastAsia="Times New Roman"/>
        </w:rPr>
        <w:t xml:space="preserve">доля информационно-коммуникационных технологий в преступлениях традиционного формата </w:t>
      </w:r>
      <w:r>
        <w:rPr>
          <w:rFonts w:eastAsia="Times New Roman"/>
          <w:i/>
          <w:iCs/>
        </w:rPr>
        <w:t>(</w:t>
      </w:r>
      <w:r>
        <w:rPr>
          <w:rFonts w:eastAsia="Times New Roman"/>
          <w:i/>
          <w:iCs/>
          <w:lang w:val="en-US"/>
        </w:rPr>
        <w:t>cyber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lang w:val="en-US"/>
        </w:rPr>
        <w:t>enabled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lang w:val="en-US"/>
        </w:rPr>
        <w:t>crimes</w:t>
      </w:r>
      <w:r>
        <w:rPr>
          <w:rFonts w:eastAsia="Times New Roman"/>
          <w:i/>
          <w:iCs/>
        </w:rPr>
        <w:t>)</w:t>
      </w:r>
      <w:r>
        <w:rPr>
          <w:rFonts w:eastAsia="Times New Roman"/>
        </w:rPr>
        <w:t xml:space="preserve"> и преступлениях, направленных на информационные технологии </w:t>
      </w:r>
      <w:r>
        <w:rPr>
          <w:rFonts w:eastAsia="Times New Roman"/>
          <w:i/>
          <w:iCs/>
        </w:rPr>
        <w:t>(</w:t>
      </w:r>
      <w:r>
        <w:rPr>
          <w:rFonts w:eastAsia="Times New Roman"/>
          <w:i/>
          <w:iCs/>
          <w:lang w:val="en-US"/>
        </w:rPr>
        <w:t>cyber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lang w:val="en-US"/>
        </w:rPr>
        <w:t>dependent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lang w:val="en-US"/>
        </w:rPr>
        <w:t>crimes</w:t>
      </w:r>
      <w:r>
        <w:rPr>
          <w:rFonts w:eastAsia="Times New Roman"/>
          <w:i/>
          <w:iCs/>
        </w:rPr>
        <w:t>)</w:t>
      </w:r>
      <w:r>
        <w:rPr>
          <w:rFonts w:eastAsia="Times New Roman"/>
        </w:rPr>
        <w:t xml:space="preserve">. В Российской Федерации 34% преступлений совершено с использованием ИКТ [1]. С помощью иностранного ресурса </w:t>
      </w:r>
      <w:r>
        <w:rPr>
          <w:rFonts w:eastAsia="Times New Roman"/>
          <w:lang w:val="en-US"/>
        </w:rPr>
        <w:t>Hackmageddon</w:t>
      </w:r>
      <w:r>
        <w:rPr>
          <w:rFonts w:eastAsia="Times New Roman"/>
        </w:rPr>
        <w:t xml:space="preserve"> за </w:t>
      </w:r>
      <w:r>
        <w:rPr>
          <w:color w:val="000000"/>
        </w:rPr>
        <w:t>2022 г. было выявлено 3074 кибератак, что на 21 % больше по сравнению с 2539 кибератаками, выявленными в течение 2021 г., их число увеличивается с каждым днем [3].</w:t>
      </w:r>
    </w:p>
    <w:p>
      <w:pPr>
        <w:pStyle w:val="NormalWeb"/>
        <w:spacing w:lineRule="auto" w:line="276" w:beforeAutospacing="0" w:before="0" w:afterAutospacing="0" w:after="0"/>
        <w:ind w:firstLine="720"/>
        <w:jc w:val="both"/>
        <w:rPr>
          <w:color w:val="000000"/>
        </w:rPr>
      </w:pPr>
      <w:r>
        <w:rPr>
          <w:color w:val="000000"/>
        </w:rPr>
        <w:t>В докладе изучается несколько кейсов: деятельность террористических группировок в Интернете, финансирование незаконных деяний криптовалютой, кража баз данных, киберпохищения и др. Отмечается, что террористические и идеологические кампании легче проводить в Сети, сложнее отслеживать их активность. Говоря о криптовалютных махинациях, возможно совершать такие преступления, как например, криптовымогательство. Преступники могут шифровать данные пользователя или заблокировать доступ к компьютеру, требуя выкуп в криптовалюте за восстановление доступа. Также, выявляется проблема защиты государственных данных, приводятся примеры сбоев государственных сайтов и утечки данных.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В условиях нарастающей угрозы киберпреступлений государства на площадке ООН на протяжении четырех лет [2] ведут переговоры о принятии Всеобъемлющей международной конвенции о противодействии использованию информационно-коммуникационных технологий в преступных целях. Заключительная сессия встреч Управления ООН по наркотикам и преступности закончилась 9 февраля 2024 г., но было заявлено, что потребуется больше времени для разработки документа, поскольку большое количество тонких формулировок требует согласования всех участников Комитета, в котором участвуют не только представители государств, но и международные организации и частные лица.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За последние годы выявлена тенденция по снижению общего количества традиционных и резкого повышения киберпреступлений, что делает данную сферу актуальной как с практической, так и научной точек зрения.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Исследование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/>
        </w:rPr>
        <w:t xml:space="preserve">обосновывает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необходимость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/>
        </w:rPr>
        <w:t>международного сотрудничества и координации действий в борьбе с киберугрозами, и продолжения переговоров по разработке единого документа на межгосударственном уровне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. </w:t>
      </w:r>
    </w:p>
    <w:p>
      <w:pPr>
        <w:pStyle w:val="Normal"/>
        <w:spacing w:before="100" w:after="1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00" w:after="1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00" w:after="1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00" w:after="1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00" w:after="1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Источники и литература</w:t>
      </w:r>
    </w:p>
    <w:p>
      <w:pPr>
        <w:pStyle w:val="NormalWeb"/>
        <w:numPr>
          <w:ilvl w:val="0"/>
          <w:numId w:val="1"/>
        </w:numPr>
        <w:spacing w:lineRule="auto" w:line="276" w:before="280" w:after="0"/>
        <w:jc w:val="both"/>
        <w:rPr>
          <w:rFonts w:eastAsia="Times New Roman"/>
        </w:rPr>
      </w:pPr>
      <w:r>
        <w:rPr/>
        <w:t xml:space="preserve">Доклад Министерства внутренних дел Российской Федерации ФКУ «Главный информационно-аналитический центр» о состоянии преступности в России за январь-ноябрь 2023 г. URL: </w:t>
      </w:r>
      <w:hyperlink r:id="rId2">
        <w:r>
          <w:rPr/>
          <w:t>https://media.mvd.ru/files/application/5040806</w:t>
        </w:r>
      </w:hyperlink>
      <w:r>
        <w:rPr/>
        <w:t>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Times New Roman"/>
        </w:rPr>
      </w:pPr>
      <w:r>
        <w:rPr/>
        <w:t>Хронология обсуждений Конвенции ООН о киберпреступности // Electronic Frontier Foundation URL: https://www.eff.org/ru/deeplinks/2023/04/un-cybercrime-treaty-timeline (дата обращения: 14.01.2024).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Times New Roman"/>
          <w:lang w:val="en-US"/>
        </w:rPr>
      </w:pPr>
      <w:r>
        <w:rPr>
          <w:lang w:val="en-US"/>
        </w:rPr>
        <w:t>2022 Cyber Attacks Statistics // HACKMAGEDDON URL: https://www.hackmageddon.com/2023/01/24/2022-cyber-attacks-statistics/ (дата обращения: 13.12.2023).</w:t>
      </w:r>
    </w:p>
    <w:p>
      <w:pPr>
        <w:pStyle w:val="NormalWeb"/>
        <w:numPr>
          <w:ilvl w:val="0"/>
          <w:numId w:val="1"/>
        </w:numPr>
        <w:spacing w:lineRule="auto" w:line="276" w:before="0" w:after="280"/>
        <w:jc w:val="both"/>
        <w:rPr>
          <w:rFonts w:eastAsia="Times New Roman"/>
          <w:lang w:val="en-US"/>
        </w:rPr>
      </w:pPr>
      <w:r>
        <w:rPr>
          <w:lang w:val="en-US"/>
        </w:rPr>
        <w:t xml:space="preserve">Kirilenko V.P., Alekseev G.V. Cybercrime and Digital Transformation. Theoretical and Applied Law. 2021;(1):39-53. </w:t>
      </w:r>
      <w:hyperlink r:id="rId3">
        <w:r>
          <w:rPr>
            <w:lang w:val="en-US"/>
          </w:rPr>
          <w:t>https://doi.org/10.22394/2686-7834-2021-1-39-53</w:t>
        </w:r>
      </w:hyperlink>
      <w:r>
        <w:rPr>
          <w:lang w:val="en-US"/>
        </w:rPr>
        <w:t>.</w:t>
      </w:r>
    </w:p>
    <w:sectPr>
      <w:footerReference w:type="default" r:id="rId4"/>
      <w:type w:val="nextPage"/>
      <w:pgSz w:w="11906" w:h="16838"/>
      <w:pgMar w:left="1133" w:right="1133" w:gutter="0" w:header="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8915810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0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Normal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c55619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5619"/>
    <w:rPr/>
  </w:style>
  <w:style w:type="character" w:styleId="Style10">
    <w:name w:val="Интернет-ссылка"/>
    <w:basedOn w:val="DefaultParagraphFont"/>
    <w:uiPriority w:val="99"/>
    <w:unhideWhenUsed/>
    <w:rsid w:val="001852e7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437556"/>
    <w:rPr>
      <w:color w:val="605E5C"/>
      <w:shd w:fill="E1DFDD" w:val="clear"/>
    </w:rPr>
  </w:style>
  <w:style w:type="character" w:styleId="Style11" w:customStyle="1">
    <w:name w:val="Текст сноски Знак"/>
    <w:basedOn w:val="DefaultParagraphFont"/>
    <w:qFormat/>
    <w:rsid w:val="00d17a61"/>
    <w:rPr>
      <w:rFonts w:ascii="Cambria" w:hAnsi="Cambria" w:eastAsia="Cambria" w:cs="" w:asciiTheme="minorHAnsi" w:cstheme="minorBidi" w:eastAsiaTheme="minorHAnsi" w:hAnsiTheme="minorHAnsi"/>
      <w:kern w:val="2"/>
      <w:sz w:val="20"/>
      <w:szCs w:val="20"/>
      <w:lang w:val="ru-RU" w:eastAsia="en-US"/>
      <w14:ligatures w14:val="standardContextual"/>
    </w:rPr>
  </w:style>
  <w:style w:type="character" w:styleId="Style12">
    <w:name w:val="Символ сноски"/>
    <w:basedOn w:val="DefaultParagraphFont"/>
    <w:unhideWhenUsed/>
    <w:qFormat/>
    <w:rsid w:val="00d17a61"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0629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1e0629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1e0629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e0629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3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rsid w:val="00c55619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6">
    <w:name w:val="Footer"/>
    <w:basedOn w:val="Normal"/>
    <w:link w:val="Style9"/>
    <w:uiPriority w:val="99"/>
    <w:unhideWhenUsed/>
    <w:rsid w:val="00c55619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unhideWhenUsed/>
    <w:qFormat/>
    <w:rsid w:val="00ab2647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  <w:lang w:val="ru-RU"/>
    </w:rPr>
  </w:style>
  <w:style w:type="paragraph" w:styleId="Style27">
    <w:name w:val="Footnote Text"/>
    <w:basedOn w:val="Normal"/>
    <w:link w:val="Style11"/>
    <w:unhideWhenUsed/>
    <w:rsid w:val="00d17a61"/>
    <w:pPr>
      <w:spacing w:lineRule="auto" w:line="240"/>
    </w:pPr>
    <w:rPr>
      <w:rFonts w:ascii="Cambria" w:hAnsi="Cambria" w:eastAsia="Cambria" w:cs="" w:asciiTheme="minorHAnsi" w:cstheme="minorBidi" w:eastAsiaTheme="minorHAnsi" w:hAnsiTheme="minorHAnsi"/>
      <w:kern w:val="2"/>
      <w:sz w:val="20"/>
      <w:szCs w:val="20"/>
      <w:lang w:val="ru-RU" w:eastAsia="en-US"/>
      <w14:ligatures w14:val="standardContextual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1e062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1e0629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e0629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dia.mvd.ru/files/application/5040806" TargetMode="External"/><Relationship Id="rId3" Type="http://schemas.openxmlformats.org/officeDocument/2006/relationships/hyperlink" Target="https://doi.org/10.22394/2686-7834-2021-1-39-53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LibreOffice/7.3.7.2$Linux_X86_64 LibreOffice_project/30$Build-2</Application>
  <AppVersion>15.0000</AppVersion>
  <Pages>2</Pages>
  <Words>453</Words>
  <Characters>3615</Characters>
  <CharactersWithSpaces>4052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2024-02-28T05:43:00Z</dcterms:created>
  <dc:creator/>
  <dc:description/>
  <dc:language>ru-RU</dc:language>
  <cp:lastModifiedBy/>
  <dcterms:modified xsi:type="dcterms:W3CDTF">2024-04-27T11:48:49Z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