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4659" w14:textId="405B072B" w:rsidR="00AE114C" w:rsidRDefault="00AE114C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rStyle w:val="a4"/>
          <w:i/>
          <w:iCs/>
          <w:color w:val="353535"/>
        </w:rPr>
      </w:pPr>
      <w:r>
        <w:rPr>
          <w:rStyle w:val="a4"/>
          <w:i/>
          <w:iCs/>
          <w:color w:val="353535"/>
        </w:rPr>
        <w:t>Этиологический сюжет</w:t>
      </w:r>
      <w:r w:rsidR="00946B50">
        <w:rPr>
          <w:rStyle w:val="a4"/>
          <w:i/>
          <w:iCs/>
          <w:color w:val="353535"/>
        </w:rPr>
        <w:t xml:space="preserve"> на керамике древних майя:</w:t>
      </w:r>
      <w:r w:rsidR="002D6850">
        <w:rPr>
          <w:rStyle w:val="a4"/>
          <w:i/>
          <w:iCs/>
          <w:color w:val="353535"/>
        </w:rPr>
        <w:t xml:space="preserve"> как носуха получила работу</w:t>
      </w:r>
      <w:r w:rsidR="00946B50">
        <w:rPr>
          <w:rStyle w:val="a4"/>
          <w:i/>
          <w:iCs/>
          <w:color w:val="353535"/>
        </w:rPr>
        <w:t xml:space="preserve"> </w:t>
      </w:r>
    </w:p>
    <w:p w14:paraId="0E200B72" w14:textId="4A1C9A24" w:rsidR="00742187" w:rsidRPr="00E61710" w:rsidRDefault="0074218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color w:val="353535"/>
        </w:rPr>
      </w:pPr>
      <w:r w:rsidRPr="00E61710">
        <w:rPr>
          <w:rStyle w:val="a4"/>
          <w:i/>
          <w:iCs/>
          <w:color w:val="353535"/>
        </w:rPr>
        <w:t>Напольских Т</w:t>
      </w:r>
      <w:r>
        <w:rPr>
          <w:rStyle w:val="a4"/>
          <w:i/>
          <w:iCs/>
          <w:color w:val="353535"/>
        </w:rPr>
        <w:t xml:space="preserve">аисия </w:t>
      </w:r>
      <w:r w:rsidRPr="00E61710">
        <w:rPr>
          <w:rStyle w:val="a4"/>
          <w:i/>
          <w:iCs/>
          <w:color w:val="353535"/>
        </w:rPr>
        <w:t>В</w:t>
      </w:r>
      <w:r>
        <w:rPr>
          <w:rStyle w:val="a4"/>
          <w:i/>
          <w:iCs/>
          <w:color w:val="353535"/>
        </w:rPr>
        <w:t>ладимировна</w:t>
      </w:r>
    </w:p>
    <w:p w14:paraId="7E63DB5E" w14:textId="49C154EF" w:rsidR="00742187" w:rsidRPr="00E61710" w:rsidRDefault="0074218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color w:val="353535"/>
        </w:rPr>
      </w:pPr>
      <w:r w:rsidRPr="00E61710">
        <w:rPr>
          <w:rStyle w:val="a5"/>
          <w:color w:val="353535"/>
        </w:rPr>
        <w:t>Студентка</w:t>
      </w:r>
      <w:r>
        <w:rPr>
          <w:rStyle w:val="a5"/>
          <w:color w:val="353535"/>
        </w:rPr>
        <w:t>, бакалавр</w:t>
      </w:r>
    </w:p>
    <w:p w14:paraId="535F5E9C" w14:textId="593F2AB4" w:rsidR="00742187" w:rsidRPr="00E61710" w:rsidRDefault="0074218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color w:val="353535"/>
        </w:rPr>
      </w:pPr>
      <w:r w:rsidRPr="00E61710">
        <w:rPr>
          <w:rStyle w:val="a5"/>
          <w:color w:val="353535"/>
        </w:rPr>
        <w:t>Российский государственный гуманитарный университет</w:t>
      </w:r>
      <w:r>
        <w:rPr>
          <w:color w:val="353535"/>
        </w:rPr>
        <w:t xml:space="preserve">, </w:t>
      </w:r>
      <w:r w:rsidRPr="00E61710">
        <w:rPr>
          <w:rStyle w:val="a5"/>
          <w:color w:val="353535"/>
        </w:rPr>
        <w:t>исторический факультет, Москва, Россия</w:t>
      </w:r>
    </w:p>
    <w:p w14:paraId="0CBD7784" w14:textId="180DC83E" w:rsidR="00742187" w:rsidRPr="008A4DE7" w:rsidRDefault="0074218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rStyle w:val="a5"/>
          <w:color w:val="353535"/>
        </w:rPr>
      </w:pPr>
      <w:r w:rsidRPr="00E61710">
        <w:rPr>
          <w:rStyle w:val="a5"/>
          <w:color w:val="353535"/>
        </w:rPr>
        <w:t xml:space="preserve">E–mail: </w:t>
      </w:r>
      <w:r w:rsidRPr="00742187">
        <w:rPr>
          <w:rStyle w:val="a5"/>
          <w:i w:val="0"/>
          <w:iCs w:val="0"/>
          <w:color w:val="353535"/>
          <w:lang w:val="en-US"/>
        </w:rPr>
        <w:t>tasya</w:t>
      </w:r>
      <w:r w:rsidRPr="00742187">
        <w:rPr>
          <w:rStyle w:val="a5"/>
          <w:i w:val="0"/>
          <w:iCs w:val="0"/>
          <w:color w:val="353535"/>
        </w:rPr>
        <w:t>.</w:t>
      </w:r>
      <w:r w:rsidRPr="00742187">
        <w:rPr>
          <w:rStyle w:val="a5"/>
          <w:i w:val="0"/>
          <w:iCs w:val="0"/>
          <w:color w:val="353535"/>
          <w:lang w:val="en-US"/>
        </w:rPr>
        <w:t>napolskih</w:t>
      </w:r>
      <w:r w:rsidRPr="00742187">
        <w:rPr>
          <w:rStyle w:val="a5"/>
          <w:i w:val="0"/>
          <w:iCs w:val="0"/>
          <w:color w:val="353535"/>
        </w:rPr>
        <w:t>@</w:t>
      </w:r>
      <w:r w:rsidRPr="00742187">
        <w:rPr>
          <w:rStyle w:val="a5"/>
          <w:i w:val="0"/>
          <w:iCs w:val="0"/>
          <w:color w:val="353535"/>
          <w:lang w:val="en-US"/>
        </w:rPr>
        <w:t>gmail</w:t>
      </w:r>
      <w:r w:rsidRPr="00742187">
        <w:rPr>
          <w:rStyle w:val="a5"/>
          <w:i w:val="0"/>
          <w:iCs w:val="0"/>
          <w:color w:val="353535"/>
        </w:rPr>
        <w:t>.</w:t>
      </w:r>
      <w:r w:rsidRPr="00742187">
        <w:rPr>
          <w:rStyle w:val="a5"/>
          <w:i w:val="0"/>
          <w:iCs w:val="0"/>
          <w:color w:val="353535"/>
          <w:lang w:val="en-US"/>
        </w:rPr>
        <w:t>com</w:t>
      </w:r>
    </w:p>
    <w:p w14:paraId="60C7B0F7" w14:textId="77777777" w:rsidR="008A4DE7" w:rsidRDefault="008A4DE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rStyle w:val="a5"/>
          <w:i w:val="0"/>
          <w:iCs w:val="0"/>
          <w:color w:val="353535"/>
        </w:rPr>
      </w:pPr>
    </w:p>
    <w:p w14:paraId="49E7BCC1" w14:textId="1F68A1E0" w:rsidR="00011555" w:rsidRDefault="00AA598C" w:rsidP="00B9354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</w:rPr>
      </w:pPr>
      <w:r>
        <w:rPr>
          <w:rStyle w:val="a5"/>
          <w:i w:val="0"/>
          <w:iCs w:val="0"/>
          <w:color w:val="353535"/>
        </w:rPr>
        <w:t xml:space="preserve">Этиологические сюжеты являются по своей сути объяснительными, раскрывающими происхождение и особенности природных явлений, животных, растений или элементов социальной действительности. </w:t>
      </w:r>
      <w:r w:rsidRPr="00EC3011">
        <w:rPr>
          <w:rStyle w:val="a5"/>
          <w:i w:val="0"/>
          <w:iCs w:val="0"/>
          <w:color w:val="353535"/>
        </w:rPr>
        <w:t>Такие сюжеты</w:t>
      </w:r>
      <w:r>
        <w:rPr>
          <w:rStyle w:val="a5"/>
          <w:i w:val="0"/>
          <w:iCs w:val="0"/>
          <w:color w:val="353535"/>
        </w:rPr>
        <w:t xml:space="preserve"> (наряду с космогоническими и антропогоническими) являются частью архаической мифологии и</w:t>
      </w:r>
      <w:r w:rsidRPr="00EC3011">
        <w:rPr>
          <w:rStyle w:val="a5"/>
          <w:i w:val="0"/>
          <w:iCs w:val="0"/>
          <w:color w:val="353535"/>
        </w:rPr>
        <w:t xml:space="preserve">, безусловно, </w:t>
      </w:r>
      <w:r>
        <w:rPr>
          <w:rStyle w:val="a5"/>
          <w:i w:val="0"/>
          <w:iCs w:val="0"/>
          <w:color w:val="353535"/>
        </w:rPr>
        <w:t xml:space="preserve">представляют особое значение </w:t>
      </w:r>
      <w:r w:rsidRPr="00EC3011">
        <w:rPr>
          <w:rStyle w:val="a5"/>
          <w:i w:val="0"/>
          <w:iCs w:val="0"/>
          <w:color w:val="353535"/>
        </w:rPr>
        <w:t xml:space="preserve">в концепции мирового устройства древних </w:t>
      </w:r>
      <w:r>
        <w:rPr>
          <w:rStyle w:val="a5"/>
          <w:i w:val="0"/>
          <w:iCs w:val="0"/>
          <w:color w:val="353535"/>
        </w:rPr>
        <w:t>обществ</w:t>
      </w:r>
      <w:r w:rsidRPr="00EC3011">
        <w:rPr>
          <w:rStyle w:val="a5"/>
          <w:i w:val="0"/>
          <w:iCs w:val="0"/>
          <w:color w:val="353535"/>
        </w:rPr>
        <w:t>.</w:t>
      </w:r>
      <w:r w:rsidR="00800FED">
        <w:rPr>
          <w:rStyle w:val="a5"/>
          <w:i w:val="0"/>
          <w:iCs w:val="0"/>
          <w:color w:val="353535"/>
        </w:rPr>
        <w:t xml:space="preserve"> </w:t>
      </w:r>
      <w:r w:rsidR="00AE114C">
        <w:rPr>
          <w:rStyle w:val="a5"/>
          <w:i w:val="0"/>
          <w:iCs w:val="0"/>
          <w:color w:val="353535"/>
        </w:rPr>
        <w:t xml:space="preserve"> </w:t>
      </w:r>
    </w:p>
    <w:p w14:paraId="1D4B65C4" w14:textId="661B51B5" w:rsidR="008A4DE7" w:rsidRDefault="00AE114C" w:rsidP="0001155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</w:rPr>
      </w:pPr>
      <w:r>
        <w:rPr>
          <w:rStyle w:val="a5"/>
          <w:i w:val="0"/>
          <w:iCs w:val="0"/>
          <w:color w:val="353535"/>
        </w:rPr>
        <w:t>На керамике майя классического периода нашел отражение сюжет, в котором различные животные приходят ко двору владыки неба Ицамны и получают от него в награду за выполненное задание или в обмен на подношение свои отличительные черты</w:t>
      </w:r>
      <w:r w:rsidR="00185E87">
        <w:rPr>
          <w:rStyle w:val="a5"/>
          <w:i w:val="0"/>
          <w:iCs w:val="0"/>
          <w:color w:val="353535"/>
        </w:rPr>
        <w:t xml:space="preserve"> (</w:t>
      </w:r>
      <w:r w:rsidR="00F71D25">
        <w:rPr>
          <w:rStyle w:val="a5"/>
          <w:i w:val="0"/>
          <w:iCs w:val="0"/>
          <w:color w:val="353535"/>
        </w:rPr>
        <w:t>олени – рога, птицы – крылья и т.д.)</w:t>
      </w:r>
      <w:r>
        <w:rPr>
          <w:rStyle w:val="a5"/>
          <w:i w:val="0"/>
          <w:iCs w:val="0"/>
          <w:color w:val="353535"/>
        </w:rPr>
        <w:t>.</w:t>
      </w:r>
      <w:r w:rsidR="00011555">
        <w:rPr>
          <w:rStyle w:val="a5"/>
          <w:i w:val="0"/>
          <w:iCs w:val="0"/>
          <w:color w:val="353535"/>
        </w:rPr>
        <w:t xml:space="preserve"> </w:t>
      </w:r>
      <w:r w:rsidR="00FF34AC">
        <w:rPr>
          <w:rStyle w:val="a5"/>
          <w:i w:val="0"/>
          <w:iCs w:val="0"/>
          <w:color w:val="353535"/>
        </w:rPr>
        <w:t>Таким образом была определена характерная для сюжета структура</w:t>
      </w:r>
      <w:r w:rsidR="00016B91">
        <w:rPr>
          <w:rStyle w:val="a5"/>
          <w:i w:val="0"/>
          <w:iCs w:val="0"/>
          <w:color w:val="353535"/>
        </w:rPr>
        <w:t xml:space="preserve">. </w:t>
      </w:r>
      <w:r w:rsidR="00011555">
        <w:rPr>
          <w:rStyle w:val="a5"/>
          <w:i w:val="0"/>
          <w:iCs w:val="0"/>
          <w:color w:val="353535"/>
        </w:rPr>
        <w:t>Стоит отметить, что некоторые сцены данного сюжета ранее были рассмотрены исследователями в рамках низшей мифологии</w:t>
      </w:r>
      <w:r w:rsidR="00011555" w:rsidRPr="00011555">
        <w:rPr>
          <w:rStyle w:val="a5"/>
          <w:i w:val="0"/>
          <w:iCs w:val="0"/>
          <w:color w:val="353535"/>
        </w:rPr>
        <w:t xml:space="preserve"> [</w:t>
      </w:r>
      <w:r w:rsidR="00EA2286">
        <w:rPr>
          <w:rStyle w:val="a5"/>
          <w:i w:val="0"/>
          <w:iCs w:val="0"/>
          <w:color w:val="353535"/>
        </w:rPr>
        <w:t xml:space="preserve">1, </w:t>
      </w:r>
      <w:r w:rsidR="00FD0261">
        <w:rPr>
          <w:rStyle w:val="a5"/>
          <w:i w:val="0"/>
          <w:iCs w:val="0"/>
          <w:color w:val="353535"/>
        </w:rPr>
        <w:t>3</w:t>
      </w:r>
      <w:r w:rsidR="00011555" w:rsidRPr="00011555">
        <w:rPr>
          <w:rStyle w:val="a5"/>
          <w:i w:val="0"/>
          <w:iCs w:val="0"/>
          <w:color w:val="353535"/>
        </w:rPr>
        <w:t>]</w:t>
      </w:r>
      <w:r w:rsidR="00011555">
        <w:rPr>
          <w:rStyle w:val="a5"/>
          <w:i w:val="0"/>
          <w:iCs w:val="0"/>
          <w:color w:val="353535"/>
        </w:rPr>
        <w:t xml:space="preserve"> или в связи с отражением дворцового этикета на керамике</w:t>
      </w:r>
      <w:r w:rsidR="00011555" w:rsidRPr="00011555">
        <w:rPr>
          <w:rStyle w:val="a5"/>
          <w:i w:val="0"/>
          <w:iCs w:val="0"/>
          <w:color w:val="353535"/>
        </w:rPr>
        <w:t xml:space="preserve"> [</w:t>
      </w:r>
      <w:r w:rsidR="00FD0261">
        <w:rPr>
          <w:rStyle w:val="a5"/>
          <w:i w:val="0"/>
          <w:iCs w:val="0"/>
          <w:color w:val="353535"/>
        </w:rPr>
        <w:t>6</w:t>
      </w:r>
      <w:r w:rsidR="00011555" w:rsidRPr="00011555">
        <w:rPr>
          <w:rStyle w:val="a5"/>
          <w:i w:val="0"/>
          <w:iCs w:val="0"/>
          <w:color w:val="353535"/>
        </w:rPr>
        <w:t>]</w:t>
      </w:r>
      <w:r w:rsidR="00011555">
        <w:rPr>
          <w:rStyle w:val="a5"/>
          <w:i w:val="0"/>
          <w:iCs w:val="0"/>
          <w:color w:val="353535"/>
        </w:rPr>
        <w:t xml:space="preserve">, но не </w:t>
      </w:r>
      <w:r w:rsidR="00BD1017">
        <w:rPr>
          <w:rStyle w:val="a5"/>
          <w:i w:val="0"/>
          <w:iCs w:val="0"/>
          <w:color w:val="353535"/>
        </w:rPr>
        <w:t xml:space="preserve">объединялись в одну группу и не </w:t>
      </w:r>
      <w:r w:rsidR="00011555">
        <w:rPr>
          <w:rStyle w:val="a5"/>
          <w:i w:val="0"/>
          <w:iCs w:val="0"/>
          <w:color w:val="353535"/>
        </w:rPr>
        <w:t>были предметом полноценного анализа с точки зрения этиологических мифов</w:t>
      </w:r>
      <w:r w:rsidR="00BD1017">
        <w:rPr>
          <w:rStyle w:val="a5"/>
          <w:i w:val="0"/>
          <w:iCs w:val="0"/>
          <w:color w:val="353535"/>
        </w:rPr>
        <w:t xml:space="preserve">. </w:t>
      </w:r>
      <w:r w:rsidR="00011555">
        <w:rPr>
          <w:rStyle w:val="a5"/>
          <w:i w:val="0"/>
          <w:iCs w:val="0"/>
          <w:color w:val="353535"/>
        </w:rPr>
        <w:t xml:space="preserve">Более того, поиск этнографических параллелей </w:t>
      </w:r>
      <w:r w:rsidR="00DB6480" w:rsidRPr="00DB6480">
        <w:rPr>
          <w:rStyle w:val="a5"/>
          <w:i w:val="0"/>
          <w:iCs w:val="0"/>
          <w:color w:val="353535"/>
        </w:rPr>
        <w:t>[</w:t>
      </w:r>
      <w:r w:rsidR="00FD0261">
        <w:rPr>
          <w:rStyle w:val="a5"/>
          <w:i w:val="0"/>
          <w:iCs w:val="0"/>
          <w:color w:val="353535"/>
        </w:rPr>
        <w:t>7</w:t>
      </w:r>
      <w:r w:rsidR="00DB6480" w:rsidRPr="00DB6480">
        <w:rPr>
          <w:rStyle w:val="a5"/>
          <w:i w:val="0"/>
          <w:iCs w:val="0"/>
          <w:color w:val="353535"/>
        </w:rPr>
        <w:t>]</w:t>
      </w:r>
      <w:r w:rsidR="00DB6480">
        <w:rPr>
          <w:rStyle w:val="a5"/>
          <w:i w:val="0"/>
          <w:iCs w:val="0"/>
          <w:color w:val="353535"/>
        </w:rPr>
        <w:t xml:space="preserve"> </w:t>
      </w:r>
      <w:r w:rsidR="00011555">
        <w:rPr>
          <w:rStyle w:val="a5"/>
          <w:i w:val="0"/>
          <w:iCs w:val="0"/>
          <w:color w:val="353535"/>
        </w:rPr>
        <w:t xml:space="preserve">показал, что в Мезоамерике </w:t>
      </w:r>
      <w:r w:rsidR="00DB6480">
        <w:rPr>
          <w:rStyle w:val="a5"/>
          <w:i w:val="0"/>
          <w:iCs w:val="0"/>
          <w:color w:val="353535"/>
        </w:rPr>
        <w:t>существенно меньше этиологических сюжетов и обнаруживается их нехватка в сравнении с Северной и Южной Америкой.</w:t>
      </w:r>
    </w:p>
    <w:p w14:paraId="56DC1B8C" w14:textId="555FD6D2" w:rsidR="00DB6480" w:rsidRDefault="00DB6480" w:rsidP="00DB6480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</w:rPr>
      </w:pPr>
      <w:r>
        <w:rPr>
          <w:rStyle w:val="a5"/>
          <w:i w:val="0"/>
          <w:iCs w:val="0"/>
          <w:color w:val="353535"/>
        </w:rPr>
        <w:t>Ключевым персонажем на всех вазах является бог Ицамна или Ицам-Коках, который считался верховным божеством в пантеоне майя, покровителем письменности, жрецов и тайного знания. В иконографии классического периода чаще всего фигурирует в сценах небесного двора, где изображается восседающим на троне и принимающим различных антропоморфных и зооморфных просителей. Более того, Ицамна играет важную роль в антропогоническом мифе, где повелевает создать первых людей из глины</w:t>
      </w:r>
      <w:r w:rsidR="00612DA0">
        <w:rPr>
          <w:rStyle w:val="a5"/>
          <w:i w:val="0"/>
          <w:iCs w:val="0"/>
          <w:color w:val="353535"/>
        </w:rPr>
        <w:t xml:space="preserve"> </w:t>
      </w:r>
      <w:r w:rsidR="00612DA0" w:rsidRPr="00612DA0">
        <w:rPr>
          <w:rStyle w:val="a5"/>
          <w:i w:val="0"/>
          <w:iCs w:val="0"/>
          <w:color w:val="353535"/>
        </w:rPr>
        <w:t>[</w:t>
      </w:r>
      <w:r w:rsidR="00202A8D" w:rsidRPr="00FD0261">
        <w:rPr>
          <w:rStyle w:val="a5"/>
          <w:i w:val="0"/>
          <w:iCs w:val="0"/>
          <w:color w:val="353535"/>
        </w:rPr>
        <w:t>2</w:t>
      </w:r>
      <w:r w:rsidR="00612DA0" w:rsidRPr="00612DA0">
        <w:rPr>
          <w:rStyle w:val="a5"/>
          <w:i w:val="0"/>
          <w:iCs w:val="0"/>
          <w:color w:val="353535"/>
        </w:rPr>
        <w:t>]</w:t>
      </w:r>
      <w:r>
        <w:rPr>
          <w:rStyle w:val="a5"/>
          <w:i w:val="0"/>
          <w:iCs w:val="0"/>
          <w:color w:val="353535"/>
        </w:rPr>
        <w:t xml:space="preserve">. Это </w:t>
      </w:r>
      <w:r w:rsidRPr="00DB6480">
        <w:rPr>
          <w:rStyle w:val="a5"/>
          <w:i w:val="0"/>
          <w:iCs w:val="0"/>
          <w:color w:val="353535"/>
        </w:rPr>
        <w:t xml:space="preserve">подчеркивает его роль как небесного владыки и позволяет рассматривать </w:t>
      </w:r>
      <w:r>
        <w:rPr>
          <w:rStyle w:val="a5"/>
          <w:i w:val="0"/>
          <w:iCs w:val="0"/>
          <w:color w:val="353535"/>
        </w:rPr>
        <w:t xml:space="preserve">сюжет с Ицамной и дарами животным </w:t>
      </w:r>
      <w:r w:rsidRPr="00DB6480">
        <w:rPr>
          <w:rStyle w:val="a5"/>
          <w:i w:val="0"/>
          <w:iCs w:val="0"/>
          <w:color w:val="353535"/>
        </w:rPr>
        <w:t>как часть его деятельности бога-творца.</w:t>
      </w:r>
    </w:p>
    <w:p w14:paraId="0480232A" w14:textId="0D859F76" w:rsidR="002925CE" w:rsidRPr="0077402F" w:rsidRDefault="002925CE" w:rsidP="00765B05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</w:rPr>
      </w:pPr>
      <w:r>
        <w:rPr>
          <w:rStyle w:val="a5"/>
          <w:i w:val="0"/>
          <w:iCs w:val="0"/>
          <w:color w:val="353535"/>
        </w:rPr>
        <w:t xml:space="preserve">Анализ иконографического материала позволил дополнить ранние выдвинутые предположения </w:t>
      </w:r>
      <w:r w:rsidRPr="00AA598C">
        <w:rPr>
          <w:rStyle w:val="a5"/>
          <w:i w:val="0"/>
          <w:iCs w:val="0"/>
          <w:color w:val="353535"/>
        </w:rPr>
        <w:t>[</w:t>
      </w:r>
      <w:r w:rsidR="00FD0261">
        <w:rPr>
          <w:rStyle w:val="a5"/>
          <w:i w:val="0"/>
          <w:iCs w:val="0"/>
          <w:color w:val="353535"/>
        </w:rPr>
        <w:t xml:space="preserve">1, </w:t>
      </w:r>
      <w:r w:rsidR="00FD0261" w:rsidRPr="00FD0261">
        <w:rPr>
          <w:rStyle w:val="a5"/>
          <w:i w:val="0"/>
          <w:iCs w:val="0"/>
          <w:color w:val="353535"/>
        </w:rPr>
        <w:t>3</w:t>
      </w:r>
      <w:r w:rsidR="00FD0261">
        <w:rPr>
          <w:rStyle w:val="a5"/>
          <w:i w:val="0"/>
          <w:iCs w:val="0"/>
          <w:color w:val="353535"/>
        </w:rPr>
        <w:t>, 4, 6</w:t>
      </w:r>
      <w:r w:rsidRPr="00AA598C">
        <w:rPr>
          <w:rStyle w:val="a5"/>
          <w:i w:val="0"/>
          <w:iCs w:val="0"/>
          <w:color w:val="353535"/>
        </w:rPr>
        <w:t>]</w:t>
      </w:r>
      <w:r>
        <w:rPr>
          <w:rStyle w:val="a5"/>
          <w:i w:val="0"/>
          <w:iCs w:val="0"/>
          <w:color w:val="353535"/>
        </w:rPr>
        <w:t xml:space="preserve"> касательно специфики обозначенного сюжета в мифологии древних майя</w:t>
      </w:r>
      <w:r w:rsidR="00FF34AC">
        <w:rPr>
          <w:rStyle w:val="a5"/>
          <w:i w:val="0"/>
          <w:iCs w:val="0"/>
          <w:color w:val="353535"/>
        </w:rPr>
        <w:t>.</w:t>
      </w:r>
      <w:r>
        <w:rPr>
          <w:rStyle w:val="a5"/>
          <w:i w:val="0"/>
          <w:iCs w:val="0"/>
          <w:color w:val="353535"/>
        </w:rPr>
        <w:t xml:space="preserve"> Наиболее часто встречающееся животное на выделенных сосудах с богом Ицамной – носуха (или коати), которую иконографически можно определить по характерному для нее уху </w:t>
      </w:r>
      <w:r w:rsidRPr="00AA654C">
        <w:rPr>
          <w:rStyle w:val="a5"/>
          <w:i w:val="0"/>
          <w:iCs w:val="0"/>
          <w:color w:val="353535"/>
        </w:rPr>
        <w:t>[</w:t>
      </w:r>
      <w:r w:rsidR="00202A8D" w:rsidRPr="00202A8D">
        <w:rPr>
          <w:rStyle w:val="a5"/>
          <w:i w:val="0"/>
          <w:iCs w:val="0"/>
          <w:color w:val="353535"/>
        </w:rPr>
        <w:t>5</w:t>
      </w:r>
      <w:r w:rsidRPr="00AA654C">
        <w:rPr>
          <w:rStyle w:val="a5"/>
          <w:i w:val="0"/>
          <w:iCs w:val="0"/>
          <w:color w:val="353535"/>
        </w:rPr>
        <w:t>]</w:t>
      </w:r>
      <w:r>
        <w:rPr>
          <w:rStyle w:val="a5"/>
          <w:i w:val="0"/>
          <w:iCs w:val="0"/>
          <w:color w:val="353535"/>
        </w:rPr>
        <w:t xml:space="preserve">. </w:t>
      </w:r>
      <w:r w:rsidR="00765B05">
        <w:rPr>
          <w:rStyle w:val="a5"/>
          <w:i w:val="0"/>
          <w:iCs w:val="0"/>
          <w:color w:val="353535"/>
        </w:rPr>
        <w:t>Особый интерес представляет</w:t>
      </w:r>
      <w:r w:rsidR="00765B05">
        <w:rPr>
          <w:rStyle w:val="a5"/>
          <w:i w:val="0"/>
          <w:iCs w:val="0"/>
          <w:color w:val="353535"/>
        </w:rPr>
        <w:t xml:space="preserve"> сосуд К8076</w:t>
      </w:r>
      <w:r w:rsidR="00765B05" w:rsidRPr="00765B05">
        <w:rPr>
          <w:rStyle w:val="a5"/>
          <w:i w:val="0"/>
          <w:iCs w:val="0"/>
          <w:color w:val="353535"/>
        </w:rPr>
        <w:t xml:space="preserve"> [8]</w:t>
      </w:r>
      <w:r w:rsidR="00765B05">
        <w:rPr>
          <w:rStyle w:val="a5"/>
          <w:i w:val="0"/>
          <w:iCs w:val="0"/>
          <w:color w:val="353535"/>
        </w:rPr>
        <w:t>. На нем представлена сцена, в левой части которой изображены бог Ица</w:t>
      </w:r>
      <w:r w:rsidR="00765B05">
        <w:rPr>
          <w:rStyle w:val="a5"/>
          <w:i w:val="0"/>
          <w:iCs w:val="0"/>
          <w:color w:val="353535"/>
        </w:rPr>
        <w:t xml:space="preserve">мна </w:t>
      </w:r>
      <w:r w:rsidR="00765B05">
        <w:rPr>
          <w:rStyle w:val="a5"/>
          <w:i w:val="0"/>
          <w:iCs w:val="0"/>
          <w:color w:val="353535"/>
        </w:rPr>
        <w:t>и носуха, сидящая перед божеством и протягивающая к нему лапу. Сцену сопровождает также иероглифический текст, поясняющий изображение. Эта надпись отражает прямую речь персонажа</w:t>
      </w:r>
      <w:r w:rsidR="00765B05">
        <w:rPr>
          <w:rStyle w:val="a5"/>
          <w:i w:val="0"/>
          <w:iCs w:val="0"/>
          <w:color w:val="353535"/>
        </w:rPr>
        <w:t xml:space="preserve">. </w:t>
      </w:r>
      <w:r w:rsidR="00765B05">
        <w:rPr>
          <w:rStyle w:val="a5"/>
          <w:i w:val="0"/>
          <w:iCs w:val="0"/>
          <w:color w:val="353535"/>
        </w:rPr>
        <w:t xml:space="preserve">Такая форма редко встречается в текстах на монументальной скульптуре из-за специфики дискурса текста, но играет важное значение в различных сюжетах, отраженных на керамике.  </w:t>
      </w:r>
      <w:r w:rsidR="00765B05">
        <w:rPr>
          <w:rStyle w:val="a5"/>
          <w:i w:val="0"/>
          <w:iCs w:val="0"/>
          <w:color w:val="353535"/>
        </w:rPr>
        <w:t>Данная сцена (и ряд других с тем же животным), а также иероглифическая подпись д</w:t>
      </w:r>
      <w:r>
        <w:rPr>
          <w:rStyle w:val="a5"/>
          <w:i w:val="0"/>
          <w:iCs w:val="0"/>
          <w:color w:val="353535"/>
        </w:rPr>
        <w:t>елает вариант сюжета с носухой наиболее интересным для рассмотрения</w:t>
      </w:r>
      <w:r w:rsidR="00800FED">
        <w:rPr>
          <w:rStyle w:val="a5"/>
          <w:i w:val="0"/>
          <w:iCs w:val="0"/>
          <w:color w:val="353535"/>
        </w:rPr>
        <w:t xml:space="preserve"> и реконструкции этиологического сюжета</w:t>
      </w:r>
      <w:r w:rsidR="00AE114C">
        <w:rPr>
          <w:rStyle w:val="a5"/>
          <w:i w:val="0"/>
          <w:iCs w:val="0"/>
          <w:color w:val="353535"/>
        </w:rPr>
        <w:t>.</w:t>
      </w:r>
    </w:p>
    <w:p w14:paraId="58B8D7F3" w14:textId="5EDBBFA8" w:rsidR="008A4DE7" w:rsidRPr="00EC3011" w:rsidRDefault="000A7857" w:rsidP="00EC3011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</w:rPr>
      </w:pPr>
      <w:r>
        <w:rPr>
          <w:rStyle w:val="a5"/>
          <w:i w:val="0"/>
          <w:iCs w:val="0"/>
          <w:color w:val="353535"/>
        </w:rPr>
        <w:t>В исследовании</w:t>
      </w:r>
      <w:r w:rsidR="008A4DE7" w:rsidRPr="00EC3011">
        <w:rPr>
          <w:rStyle w:val="a5"/>
          <w:i w:val="0"/>
          <w:iCs w:val="0"/>
          <w:color w:val="353535"/>
        </w:rPr>
        <w:t xml:space="preserve"> применялся иконографический метод, который подразумевает собой реконструкцию сюжета путем выделения сцен, персонажей и их атрибутов. В качестве </w:t>
      </w:r>
      <w:r w:rsidR="008A4DE7" w:rsidRPr="00EC3011">
        <w:rPr>
          <w:rStyle w:val="a5"/>
          <w:i w:val="0"/>
          <w:iCs w:val="0"/>
          <w:color w:val="353535"/>
        </w:rPr>
        <w:lastRenderedPageBreak/>
        <w:t xml:space="preserve">основного источника использованы изображения на </w:t>
      </w:r>
      <w:r w:rsidR="002925CE">
        <w:rPr>
          <w:rStyle w:val="a5"/>
          <w:i w:val="0"/>
          <w:iCs w:val="0"/>
          <w:color w:val="353535"/>
        </w:rPr>
        <w:t xml:space="preserve">расписной и резной </w:t>
      </w:r>
      <w:r w:rsidR="008A4DE7" w:rsidRPr="00EC3011">
        <w:rPr>
          <w:rStyle w:val="a5"/>
          <w:i w:val="0"/>
          <w:iCs w:val="0"/>
          <w:color w:val="353535"/>
        </w:rPr>
        <w:t>керамике классического периода, которые собраны Дж. Керром и представлены в его базе</w:t>
      </w:r>
      <w:r w:rsidR="002925CE">
        <w:rPr>
          <w:rStyle w:val="a5"/>
          <w:i w:val="0"/>
          <w:iCs w:val="0"/>
          <w:color w:val="353535"/>
        </w:rPr>
        <w:t xml:space="preserve"> </w:t>
      </w:r>
      <w:r w:rsidR="002925CE" w:rsidRPr="002925CE">
        <w:rPr>
          <w:rStyle w:val="a5"/>
          <w:i w:val="0"/>
          <w:iCs w:val="0"/>
          <w:color w:val="353535"/>
        </w:rPr>
        <w:t>[</w:t>
      </w:r>
      <w:r w:rsidR="00202A8D">
        <w:rPr>
          <w:rStyle w:val="a5"/>
          <w:i w:val="0"/>
          <w:iCs w:val="0"/>
          <w:color w:val="353535"/>
          <w:lang w:val="en-US"/>
        </w:rPr>
        <w:t>8</w:t>
      </w:r>
      <w:r w:rsidR="002925CE" w:rsidRPr="002925CE">
        <w:rPr>
          <w:rStyle w:val="a5"/>
          <w:i w:val="0"/>
          <w:iCs w:val="0"/>
          <w:color w:val="353535"/>
        </w:rPr>
        <w:t>]</w:t>
      </w:r>
      <w:r w:rsidR="008A4DE7" w:rsidRPr="00EC3011">
        <w:rPr>
          <w:rStyle w:val="a5"/>
          <w:i w:val="0"/>
          <w:iCs w:val="0"/>
          <w:color w:val="353535"/>
        </w:rPr>
        <w:t>.</w:t>
      </w:r>
    </w:p>
    <w:p w14:paraId="29DB2F78" w14:textId="77777777" w:rsidR="008A4DE7" w:rsidRDefault="008A4DE7" w:rsidP="00221368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</w:p>
    <w:p w14:paraId="75F40729" w14:textId="67DCD104" w:rsidR="00742187" w:rsidRPr="00742187" w:rsidRDefault="00742187" w:rsidP="00742187">
      <w:pPr>
        <w:pStyle w:val="a3"/>
        <w:shd w:val="clear" w:color="auto" w:fill="FFFFFF"/>
        <w:spacing w:before="0" w:beforeAutospacing="0" w:after="150" w:afterAutospacing="0"/>
        <w:ind w:firstLine="397"/>
        <w:jc w:val="center"/>
        <w:rPr>
          <w:color w:val="353535"/>
        </w:rPr>
      </w:pPr>
      <w:r w:rsidRPr="00E61710">
        <w:rPr>
          <w:rStyle w:val="a4"/>
          <w:color w:val="353535"/>
        </w:rPr>
        <w:t>Литература</w:t>
      </w:r>
    </w:p>
    <w:p w14:paraId="012AB11F" w14:textId="684BBBB7" w:rsidR="00AA654C" w:rsidRPr="00AA654C" w:rsidRDefault="00AA654C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  <w:r w:rsidRPr="00AA654C">
        <w:rPr>
          <w:rStyle w:val="a5"/>
          <w:i w:val="0"/>
          <w:iCs w:val="0"/>
          <w:color w:val="353535"/>
        </w:rPr>
        <w:t>Беляев Д.Д. Как бог кукурузы получил корону, а олени – рога: «высшая» и «низшая» мифология древних майя по иконографическим и письменным источникам // ХI Международная школа по фольклористике и культурной антропологии. Мифологии «живые» и книжные: программа и материалы / Сост. А.С. Архипова, Н.В. Коптев, С.Ю. Неклюдов. М.: Центр типологии и семиотики фольклора РГГУ, 2011. С. 41–42.</w:t>
      </w:r>
    </w:p>
    <w:p w14:paraId="2A5A5EDE" w14:textId="44B8AC83" w:rsidR="00584D18" w:rsidRPr="00AA654C" w:rsidRDefault="00584D18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  <w:r w:rsidRPr="00AA654C">
        <w:rPr>
          <w:rStyle w:val="a5"/>
          <w:i w:val="0"/>
          <w:iCs w:val="0"/>
          <w:color w:val="353535"/>
        </w:rPr>
        <w:t>Беляев Д.Д., Давлетшин А.И. Творение людей в мифологии древних майя // Этнографическое обозрение. 2017. № 4. С. 40-55.</w:t>
      </w:r>
    </w:p>
    <w:p w14:paraId="478D85DF" w14:textId="7BBEFFD1" w:rsidR="00584D18" w:rsidRPr="00AA654C" w:rsidRDefault="00584D18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  <w:bookmarkStart w:id="0" w:name="_Hlk159944855"/>
      <w:r w:rsidRPr="00AA654C">
        <w:rPr>
          <w:rStyle w:val="a5"/>
          <w:i w:val="0"/>
          <w:iCs w:val="0"/>
          <w:color w:val="353535"/>
          <w:lang w:val="es-ES"/>
        </w:rPr>
        <w:t xml:space="preserve">Beliaev D., Davletshin A. Los sujetos novelísticos y las palabras obscenas: Los mitos, los cuentos y las anécdotas en los textos mayas sobre la cerámica del período clásico // Sacred Books, Sacred Languages: Two Thousand Years of Religious and Ritual Mayan Literature. </w:t>
      </w:r>
      <w:r w:rsidRPr="00AA654C">
        <w:rPr>
          <w:rStyle w:val="a5"/>
          <w:i w:val="0"/>
          <w:iCs w:val="0"/>
          <w:color w:val="353535"/>
        </w:rPr>
        <w:t>Markt Schwaben, 2006. P. 21</w:t>
      </w:r>
      <w:r w:rsidR="00E050DD" w:rsidRPr="00AA654C">
        <w:rPr>
          <w:rStyle w:val="a5"/>
          <w:i w:val="0"/>
          <w:iCs w:val="0"/>
          <w:color w:val="353535"/>
        </w:rPr>
        <w:t>-</w:t>
      </w:r>
      <w:r w:rsidRPr="00AA654C">
        <w:rPr>
          <w:rStyle w:val="a5"/>
          <w:i w:val="0"/>
          <w:iCs w:val="0"/>
          <w:color w:val="353535"/>
        </w:rPr>
        <w:t>44</w:t>
      </w:r>
      <w:r w:rsidR="00E050DD" w:rsidRPr="00AA654C">
        <w:rPr>
          <w:rStyle w:val="a5"/>
          <w:i w:val="0"/>
          <w:iCs w:val="0"/>
          <w:color w:val="353535"/>
        </w:rPr>
        <w:t>.</w:t>
      </w:r>
    </w:p>
    <w:p w14:paraId="5970BA6D" w14:textId="28422135" w:rsidR="00AA654C" w:rsidRDefault="00AA654C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  <w:lang w:val="en-US"/>
        </w:rPr>
      </w:pPr>
      <w:r w:rsidRPr="00AA654C">
        <w:rPr>
          <w:rStyle w:val="a5"/>
          <w:i w:val="0"/>
          <w:iCs w:val="0"/>
          <w:color w:val="353535"/>
          <w:lang w:val="en-US"/>
        </w:rPr>
        <w:t>Card J.J., Zender M. A Seventh-sentury inscribed miniature flask from Copan found at Tazumal, El Salvador // Ancient Mesoamerica. 2016. No. 27. 279-292.</w:t>
      </w:r>
    </w:p>
    <w:p w14:paraId="0C00A3AE" w14:textId="1BB156FE" w:rsidR="00202A8D" w:rsidRPr="00202A8D" w:rsidRDefault="00202A8D" w:rsidP="00202A8D">
      <w:pPr>
        <w:pStyle w:val="a8"/>
        <w:numPr>
          <w:ilvl w:val="0"/>
          <w:numId w:val="4"/>
        </w:numPr>
        <w:rPr>
          <w:rStyle w:val="a5"/>
          <w:rFonts w:eastAsia="Times New Roman"/>
          <w:i w:val="0"/>
          <w:iCs w:val="0"/>
          <w:color w:val="353535"/>
          <w:sz w:val="24"/>
          <w:lang w:val="en-US" w:eastAsia="ru-RU"/>
        </w:rPr>
      </w:pPr>
      <w:r w:rsidRPr="00202A8D">
        <w:rPr>
          <w:rStyle w:val="a5"/>
          <w:rFonts w:eastAsia="Times New Roman"/>
          <w:i w:val="0"/>
          <w:iCs w:val="0"/>
          <w:color w:val="353535"/>
          <w:sz w:val="24"/>
          <w:lang w:val="en-US" w:eastAsia="ru-RU"/>
        </w:rPr>
        <w:t>Helmke C., Verpretskii S. Reading the Regnal Names of Rulers III and V of Caracol, Belize // The PARI Journal. 2022. Vol. XXII. No. 4. Pp. 1-24.</w:t>
      </w:r>
    </w:p>
    <w:p w14:paraId="4FCC0CC8" w14:textId="7B515C24" w:rsidR="00AA654C" w:rsidRPr="00AA654C" w:rsidRDefault="00AA654C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  <w:r w:rsidRPr="00AA654C">
        <w:rPr>
          <w:rStyle w:val="a5"/>
          <w:i w:val="0"/>
          <w:iCs w:val="0"/>
          <w:color w:val="353535"/>
          <w:lang w:val="en-US"/>
        </w:rPr>
        <w:t xml:space="preserve">Stone A., Zender M. Reading Maya Art //A Hieroglyphic Guide to Ancient Maya Painting and Sculpture, London, Thames &amp; Hudson. </w:t>
      </w:r>
      <w:r w:rsidRPr="00AA654C">
        <w:rPr>
          <w:rStyle w:val="a5"/>
          <w:i w:val="0"/>
          <w:iCs w:val="0"/>
          <w:color w:val="353535"/>
        </w:rPr>
        <w:t>2011.</w:t>
      </w:r>
    </w:p>
    <w:bookmarkEnd w:id="0"/>
    <w:p w14:paraId="7713E6E1" w14:textId="618E05AD" w:rsidR="00584D18" w:rsidRPr="00AA654C" w:rsidRDefault="00584D18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</w:rPr>
      </w:pPr>
      <w:r w:rsidRPr="00AA654C">
        <w:rPr>
          <w:rStyle w:val="a5"/>
          <w:i w:val="0"/>
          <w:iCs w:val="0"/>
          <w:color w:val="353535"/>
        </w:rPr>
        <w:t>Березкин Ю.Е., Дувакин Е.Н. Тематическая классификация и распределение фольклорно-мифологических мотивов по ареалам: http://www.ruthenia.ru/folklore/berezkin/</w:t>
      </w:r>
    </w:p>
    <w:p w14:paraId="1694ABEE" w14:textId="207CA314" w:rsidR="008A4DE7" w:rsidRPr="00AA654C" w:rsidRDefault="008A4DE7" w:rsidP="002925C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i w:val="0"/>
          <w:iCs w:val="0"/>
          <w:color w:val="353535"/>
          <w:lang w:val="en-US"/>
        </w:rPr>
      </w:pPr>
      <w:r w:rsidRPr="00AA654C">
        <w:rPr>
          <w:rStyle w:val="a5"/>
          <w:i w:val="0"/>
          <w:iCs w:val="0"/>
          <w:color w:val="353535"/>
          <w:lang w:val="en-US"/>
        </w:rPr>
        <w:t xml:space="preserve">Kerr J. Maya Vase Data Base: An Archive of Rollout Photographs: http://research.mayavase.com/kerrmaya.html </w:t>
      </w:r>
    </w:p>
    <w:p w14:paraId="29980092" w14:textId="77777777" w:rsidR="00584D18" w:rsidRPr="00AA654C" w:rsidRDefault="00584D18" w:rsidP="00AA654C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  <w:lang w:val="en-US"/>
        </w:rPr>
      </w:pPr>
    </w:p>
    <w:p w14:paraId="20960623" w14:textId="4F78D135" w:rsidR="00BF1CCA" w:rsidRPr="00AA654C" w:rsidRDefault="00BF1CCA" w:rsidP="00AA654C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rStyle w:val="a5"/>
          <w:i w:val="0"/>
          <w:iCs w:val="0"/>
          <w:color w:val="353535"/>
          <w:lang w:val="en-US"/>
        </w:rPr>
      </w:pPr>
    </w:p>
    <w:sectPr w:rsidR="00BF1CCA" w:rsidRPr="00AA654C" w:rsidSect="00742187">
      <w:pgSz w:w="11900" w:h="16840" w:code="9"/>
      <w:pgMar w:top="1134" w:right="1361" w:bottom="1134" w:left="136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0A5E"/>
    <w:multiLevelType w:val="hybridMultilevel"/>
    <w:tmpl w:val="F2CC1C22"/>
    <w:lvl w:ilvl="0" w:tplc="DD4E947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C8342BF"/>
    <w:multiLevelType w:val="hybridMultilevel"/>
    <w:tmpl w:val="DAACA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318"/>
    <w:multiLevelType w:val="hybridMultilevel"/>
    <w:tmpl w:val="E4A4F7D6"/>
    <w:lvl w:ilvl="0" w:tplc="DD4E94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8CF29B7"/>
    <w:multiLevelType w:val="hybridMultilevel"/>
    <w:tmpl w:val="24BEFD5E"/>
    <w:lvl w:ilvl="0" w:tplc="DD4E94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87764168">
    <w:abstractNumId w:val="1"/>
  </w:num>
  <w:num w:numId="2" w16cid:durableId="742533143">
    <w:abstractNumId w:val="2"/>
  </w:num>
  <w:num w:numId="3" w16cid:durableId="229389021">
    <w:abstractNumId w:val="0"/>
  </w:num>
  <w:num w:numId="4" w16cid:durableId="113117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87"/>
    <w:rsid w:val="00011555"/>
    <w:rsid w:val="00016B91"/>
    <w:rsid w:val="00062C2C"/>
    <w:rsid w:val="000A7857"/>
    <w:rsid w:val="00143553"/>
    <w:rsid w:val="00185E87"/>
    <w:rsid w:val="00190299"/>
    <w:rsid w:val="001E361F"/>
    <w:rsid w:val="00202A8D"/>
    <w:rsid w:val="00221368"/>
    <w:rsid w:val="002925CE"/>
    <w:rsid w:val="002D6850"/>
    <w:rsid w:val="002F2AD5"/>
    <w:rsid w:val="0030170A"/>
    <w:rsid w:val="003918E5"/>
    <w:rsid w:val="004D0615"/>
    <w:rsid w:val="0051474E"/>
    <w:rsid w:val="00584D18"/>
    <w:rsid w:val="00606FA4"/>
    <w:rsid w:val="00612DA0"/>
    <w:rsid w:val="00684A88"/>
    <w:rsid w:val="00742187"/>
    <w:rsid w:val="00765B05"/>
    <w:rsid w:val="0077402F"/>
    <w:rsid w:val="007B67E0"/>
    <w:rsid w:val="007F63C0"/>
    <w:rsid w:val="00800FED"/>
    <w:rsid w:val="008A4DE7"/>
    <w:rsid w:val="009443A8"/>
    <w:rsid w:val="00946B50"/>
    <w:rsid w:val="00A618B5"/>
    <w:rsid w:val="00AA598C"/>
    <w:rsid w:val="00AA654C"/>
    <w:rsid w:val="00AE114C"/>
    <w:rsid w:val="00B56101"/>
    <w:rsid w:val="00B9030A"/>
    <w:rsid w:val="00B93545"/>
    <w:rsid w:val="00BD1017"/>
    <w:rsid w:val="00BF1CCA"/>
    <w:rsid w:val="00C16A75"/>
    <w:rsid w:val="00C5738C"/>
    <w:rsid w:val="00DB6480"/>
    <w:rsid w:val="00E050DD"/>
    <w:rsid w:val="00EA1147"/>
    <w:rsid w:val="00EA2286"/>
    <w:rsid w:val="00EC3011"/>
    <w:rsid w:val="00F47CCE"/>
    <w:rsid w:val="00F71D25"/>
    <w:rsid w:val="00FD0261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CAC4"/>
  <w15:chartTrackingRefBased/>
  <w15:docId w15:val="{973DBDAA-91D6-4406-8CDC-E366E70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87"/>
    <w:pPr>
      <w:spacing w:before="120"/>
      <w:jc w:val="both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187"/>
    <w:pPr>
      <w:spacing w:before="100" w:beforeAutospacing="1" w:after="100" w:afterAutospacing="1" w:line="240" w:lineRule="auto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742187"/>
    <w:rPr>
      <w:b/>
      <w:bCs/>
    </w:rPr>
  </w:style>
  <w:style w:type="character" w:styleId="a5">
    <w:name w:val="Emphasis"/>
    <w:basedOn w:val="a0"/>
    <w:uiPriority w:val="20"/>
    <w:qFormat/>
    <w:rsid w:val="00742187"/>
    <w:rPr>
      <w:i/>
      <w:iCs/>
    </w:rPr>
  </w:style>
  <w:style w:type="character" w:styleId="a6">
    <w:name w:val="Hyperlink"/>
    <w:basedOn w:val="a0"/>
    <w:uiPriority w:val="99"/>
    <w:unhideWhenUsed/>
    <w:rsid w:val="0074218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218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A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C30E-E455-4251-BA63-FE3BD167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 happy</dc:creator>
  <cp:keywords/>
  <dc:description/>
  <cp:lastModifiedBy>sunflower happy</cp:lastModifiedBy>
  <cp:revision>10</cp:revision>
  <dcterms:created xsi:type="dcterms:W3CDTF">2024-02-28T10:07:00Z</dcterms:created>
  <dcterms:modified xsi:type="dcterms:W3CDTF">2024-02-29T08:47:00Z</dcterms:modified>
</cp:coreProperties>
</file>