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5487E7E1" w:rsidR="00C5499C" w:rsidRDefault="00000000" w:rsidP="007842B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 of an Automated and Wirelessly Controlled</w:t>
      </w:r>
      <w:r w:rsidR="00854C23">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Agricultural System for Adverse Environments</w:t>
      </w:r>
    </w:p>
    <w:p w14:paraId="00000006" w14:textId="0649C716" w:rsidR="00C5499C" w:rsidRPr="00854C23" w:rsidRDefault="00000000" w:rsidP="007842BC">
      <w:pPr>
        <w:spacing w:line="240" w:lineRule="auto"/>
        <w:jc w:val="center"/>
        <w:rPr>
          <w:rFonts w:ascii="Times New Roman" w:eastAsia="Times New Roman" w:hAnsi="Times New Roman" w:cs="Times New Roman"/>
          <w:b/>
          <w:i/>
          <w:iCs/>
          <w:sz w:val="24"/>
          <w:szCs w:val="24"/>
          <w:vertAlign w:val="superscript"/>
        </w:rPr>
      </w:pPr>
      <w:r w:rsidRPr="00854C23">
        <w:rPr>
          <w:rFonts w:ascii="Times New Roman" w:eastAsia="Times New Roman" w:hAnsi="Times New Roman" w:cs="Times New Roman"/>
          <w:b/>
          <w:i/>
          <w:iCs/>
          <w:sz w:val="24"/>
          <w:szCs w:val="24"/>
        </w:rPr>
        <w:t>Barua</w:t>
      </w:r>
      <w:r w:rsidR="00854C23" w:rsidRPr="00854C23">
        <w:rPr>
          <w:rFonts w:ascii="Times New Roman" w:eastAsia="Times New Roman" w:hAnsi="Times New Roman" w:cs="Times New Roman"/>
          <w:b/>
          <w:i/>
          <w:iCs/>
          <w:sz w:val="24"/>
          <w:szCs w:val="24"/>
        </w:rPr>
        <w:t xml:space="preserve"> </w:t>
      </w:r>
      <w:r w:rsidR="00854C23" w:rsidRPr="00854C23">
        <w:rPr>
          <w:rFonts w:ascii="Times New Roman" w:eastAsia="Times New Roman" w:hAnsi="Times New Roman" w:cs="Times New Roman"/>
          <w:b/>
          <w:i/>
          <w:iCs/>
          <w:sz w:val="24"/>
          <w:szCs w:val="24"/>
        </w:rPr>
        <w:t>S</w:t>
      </w:r>
      <w:r w:rsidR="000C4A95" w:rsidRPr="000C4A95">
        <w:rPr>
          <w:rFonts w:ascii="Times New Roman" w:eastAsia="Times New Roman" w:hAnsi="Times New Roman" w:cs="Times New Roman"/>
          <w:b/>
          <w:i/>
          <w:iCs/>
          <w:sz w:val="24"/>
          <w:szCs w:val="24"/>
          <w:lang w:val="en-US"/>
        </w:rPr>
        <w:t>.</w:t>
      </w:r>
      <w:r w:rsidRPr="00854C23">
        <w:rPr>
          <w:rFonts w:ascii="Times New Roman" w:eastAsia="Times New Roman" w:hAnsi="Times New Roman" w:cs="Times New Roman"/>
          <w:b/>
          <w:i/>
          <w:iCs/>
          <w:sz w:val="24"/>
          <w:szCs w:val="24"/>
          <w:vertAlign w:val="superscript"/>
        </w:rPr>
        <w:t>1</w:t>
      </w:r>
      <w:r w:rsidRPr="00854C23">
        <w:rPr>
          <w:rFonts w:ascii="Times New Roman" w:eastAsia="Times New Roman" w:hAnsi="Times New Roman" w:cs="Times New Roman"/>
          <w:b/>
          <w:i/>
          <w:iCs/>
          <w:sz w:val="24"/>
          <w:szCs w:val="24"/>
        </w:rPr>
        <w:t>, Chatterjee</w:t>
      </w:r>
      <w:r w:rsidR="00854C23" w:rsidRPr="00854C23">
        <w:rPr>
          <w:rFonts w:ascii="Times New Roman" w:eastAsia="Times New Roman" w:hAnsi="Times New Roman" w:cs="Times New Roman"/>
          <w:b/>
          <w:i/>
          <w:iCs/>
          <w:sz w:val="24"/>
          <w:szCs w:val="24"/>
        </w:rPr>
        <w:t xml:space="preserve"> </w:t>
      </w:r>
      <w:r w:rsidR="00854C23" w:rsidRPr="00854C23">
        <w:rPr>
          <w:rFonts w:ascii="Times New Roman" w:eastAsia="Times New Roman" w:hAnsi="Times New Roman" w:cs="Times New Roman"/>
          <w:b/>
          <w:i/>
          <w:iCs/>
          <w:sz w:val="24"/>
          <w:szCs w:val="24"/>
        </w:rPr>
        <w:t>S.</w:t>
      </w:r>
      <w:r w:rsidRPr="00854C23">
        <w:rPr>
          <w:rFonts w:ascii="Times New Roman" w:eastAsia="Times New Roman" w:hAnsi="Times New Roman" w:cs="Times New Roman"/>
          <w:b/>
          <w:i/>
          <w:iCs/>
          <w:sz w:val="24"/>
          <w:szCs w:val="24"/>
          <w:vertAlign w:val="superscript"/>
        </w:rPr>
        <w:t>2</w:t>
      </w:r>
      <w:r w:rsidRPr="00854C23">
        <w:rPr>
          <w:rFonts w:ascii="Times New Roman" w:eastAsia="Times New Roman" w:hAnsi="Times New Roman" w:cs="Times New Roman"/>
          <w:b/>
          <w:i/>
          <w:iCs/>
          <w:sz w:val="24"/>
          <w:szCs w:val="24"/>
        </w:rPr>
        <w:t xml:space="preserve">, </w:t>
      </w:r>
      <w:proofErr w:type="spellStart"/>
      <w:r w:rsidRPr="00854C23">
        <w:rPr>
          <w:rFonts w:ascii="Times New Roman" w:eastAsia="Times New Roman" w:hAnsi="Times New Roman" w:cs="Times New Roman"/>
          <w:b/>
          <w:i/>
          <w:iCs/>
          <w:sz w:val="24"/>
          <w:szCs w:val="24"/>
        </w:rPr>
        <w:t>Iakovchenko</w:t>
      </w:r>
      <w:proofErr w:type="spellEnd"/>
      <w:r w:rsidR="00854C23" w:rsidRPr="00854C23">
        <w:rPr>
          <w:rFonts w:ascii="Times New Roman" w:eastAsia="Times New Roman" w:hAnsi="Times New Roman" w:cs="Times New Roman"/>
          <w:b/>
          <w:i/>
          <w:iCs/>
          <w:sz w:val="24"/>
          <w:szCs w:val="24"/>
        </w:rPr>
        <w:t xml:space="preserve"> </w:t>
      </w:r>
      <w:r w:rsidR="00854C23" w:rsidRPr="00854C23">
        <w:rPr>
          <w:rFonts w:ascii="Times New Roman" w:eastAsia="Times New Roman" w:hAnsi="Times New Roman" w:cs="Times New Roman"/>
          <w:b/>
          <w:i/>
          <w:iCs/>
          <w:sz w:val="24"/>
          <w:szCs w:val="24"/>
        </w:rPr>
        <w:t>N.V.</w:t>
      </w:r>
      <w:r w:rsidRPr="00854C23">
        <w:rPr>
          <w:rFonts w:ascii="Times New Roman" w:eastAsia="Times New Roman" w:hAnsi="Times New Roman" w:cs="Times New Roman"/>
          <w:b/>
          <w:i/>
          <w:iCs/>
          <w:sz w:val="24"/>
          <w:szCs w:val="24"/>
          <w:vertAlign w:val="superscript"/>
        </w:rPr>
        <w:t>1</w:t>
      </w:r>
    </w:p>
    <w:p w14:paraId="5FB2E556" w14:textId="15C1ABC0" w:rsidR="00854C23" w:rsidRPr="00854C23" w:rsidRDefault="00854C23" w:rsidP="007842BC">
      <w:pPr>
        <w:spacing w:line="240" w:lineRule="auto"/>
        <w:jc w:val="center"/>
        <w:rPr>
          <w:rFonts w:ascii="Times New Roman" w:eastAsia="Times New Roman" w:hAnsi="Times New Roman" w:cs="Times New Roman"/>
          <w:bCs/>
          <w:i/>
          <w:iCs/>
          <w:sz w:val="24"/>
          <w:szCs w:val="24"/>
        </w:rPr>
      </w:pPr>
      <w:r w:rsidRPr="00854C23">
        <w:rPr>
          <w:rFonts w:ascii="Times New Roman" w:eastAsia="Times New Roman" w:hAnsi="Times New Roman" w:cs="Times New Roman"/>
          <w:bCs/>
          <w:i/>
          <w:iCs/>
          <w:sz w:val="24"/>
          <w:szCs w:val="24"/>
        </w:rPr>
        <w:t>PhD student, 2nd year of study</w:t>
      </w:r>
    </w:p>
    <w:p w14:paraId="00000007" w14:textId="50EE02EF" w:rsidR="00C5499C" w:rsidRPr="00854C23" w:rsidRDefault="00000000" w:rsidP="007842BC">
      <w:pPr>
        <w:spacing w:line="240" w:lineRule="auto"/>
        <w:jc w:val="center"/>
        <w:rPr>
          <w:rFonts w:ascii="Times New Roman" w:eastAsia="Times New Roman" w:hAnsi="Times New Roman" w:cs="Times New Roman"/>
          <w:bCs/>
          <w:i/>
          <w:iCs/>
          <w:sz w:val="24"/>
          <w:szCs w:val="24"/>
        </w:rPr>
      </w:pPr>
      <w:r w:rsidRPr="00854C23">
        <w:rPr>
          <w:rFonts w:ascii="Times New Roman" w:eastAsia="Times New Roman" w:hAnsi="Times New Roman" w:cs="Times New Roman"/>
          <w:bCs/>
          <w:i/>
          <w:iCs/>
          <w:sz w:val="24"/>
          <w:szCs w:val="24"/>
          <w:vertAlign w:val="superscript"/>
        </w:rPr>
        <w:t>1</w:t>
      </w:r>
      <w:r w:rsidRPr="00854C23">
        <w:rPr>
          <w:rFonts w:ascii="Times New Roman" w:eastAsia="Times New Roman" w:hAnsi="Times New Roman" w:cs="Times New Roman"/>
          <w:bCs/>
          <w:i/>
          <w:iCs/>
          <w:sz w:val="24"/>
          <w:szCs w:val="24"/>
        </w:rPr>
        <w:t xml:space="preserve">ITMO University, </w:t>
      </w:r>
      <w:r w:rsidR="00854C23" w:rsidRPr="00854C23">
        <w:rPr>
          <w:rFonts w:ascii="Times New Roman" w:eastAsia="Times New Roman" w:hAnsi="Times New Roman" w:cs="Times New Roman"/>
          <w:bCs/>
          <w:i/>
          <w:iCs/>
          <w:sz w:val="24"/>
          <w:szCs w:val="24"/>
        </w:rPr>
        <w:t xml:space="preserve">Faculty of Biotechnologies, </w:t>
      </w:r>
      <w:r w:rsidRPr="00854C23">
        <w:rPr>
          <w:rFonts w:ascii="Times New Roman" w:eastAsia="Times New Roman" w:hAnsi="Times New Roman" w:cs="Times New Roman"/>
          <w:bCs/>
          <w:i/>
          <w:iCs/>
          <w:sz w:val="24"/>
          <w:szCs w:val="24"/>
        </w:rPr>
        <w:t>St. Petersburg, Russia</w:t>
      </w:r>
    </w:p>
    <w:p w14:paraId="00000008" w14:textId="48A01C98" w:rsidR="00C5499C" w:rsidRDefault="00000000">
      <w:pPr>
        <w:jc w:val="center"/>
        <w:rPr>
          <w:rFonts w:ascii="Times New Roman" w:eastAsia="Times New Roman" w:hAnsi="Times New Roman" w:cs="Times New Roman"/>
          <w:bCs/>
          <w:i/>
          <w:iCs/>
          <w:sz w:val="24"/>
          <w:szCs w:val="24"/>
        </w:rPr>
      </w:pPr>
      <w:r w:rsidRPr="00854C23">
        <w:rPr>
          <w:rFonts w:ascii="Times New Roman" w:eastAsia="Times New Roman" w:hAnsi="Times New Roman" w:cs="Times New Roman"/>
          <w:bCs/>
          <w:i/>
          <w:iCs/>
          <w:sz w:val="24"/>
          <w:szCs w:val="24"/>
          <w:vertAlign w:val="superscript"/>
        </w:rPr>
        <w:t>2</w:t>
      </w:r>
      <w:r w:rsidR="00854C23" w:rsidRPr="00854C23">
        <w:rPr>
          <w:rFonts w:ascii="Times New Roman" w:eastAsia="Times New Roman" w:hAnsi="Times New Roman" w:cs="Times New Roman"/>
          <w:bCs/>
          <w:i/>
          <w:iCs/>
          <w:sz w:val="24"/>
          <w:szCs w:val="24"/>
        </w:rPr>
        <w:t xml:space="preserve"> </w:t>
      </w:r>
      <w:r w:rsidR="00854C23" w:rsidRPr="00854C23">
        <w:rPr>
          <w:rFonts w:ascii="Times New Roman" w:eastAsia="Times New Roman" w:hAnsi="Times New Roman" w:cs="Times New Roman"/>
          <w:bCs/>
          <w:i/>
          <w:iCs/>
          <w:sz w:val="24"/>
          <w:szCs w:val="24"/>
        </w:rPr>
        <w:t>ITMO University,</w:t>
      </w:r>
      <w:r w:rsidR="00854C23" w:rsidRPr="00854C23">
        <w:rPr>
          <w:rFonts w:ascii="Times New Roman" w:eastAsia="Times New Roman" w:hAnsi="Times New Roman" w:cs="Times New Roman"/>
          <w:bCs/>
          <w:i/>
          <w:iCs/>
          <w:sz w:val="24"/>
          <w:szCs w:val="24"/>
        </w:rPr>
        <w:t xml:space="preserve"> </w:t>
      </w:r>
      <w:r w:rsidRPr="00854C23">
        <w:rPr>
          <w:rFonts w:ascii="Times New Roman" w:eastAsia="Times New Roman" w:hAnsi="Times New Roman" w:cs="Times New Roman"/>
          <w:bCs/>
          <w:i/>
          <w:iCs/>
          <w:sz w:val="24"/>
          <w:szCs w:val="24"/>
        </w:rPr>
        <w:t>Faculty of Physics, St. Petersburg, Russia</w:t>
      </w:r>
    </w:p>
    <w:p w14:paraId="19130685" w14:textId="78459264" w:rsidR="00854C23" w:rsidRDefault="00854C23" w:rsidP="007C4662">
      <w:pPr>
        <w:spacing w:line="24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E-mail: </w:t>
      </w:r>
      <w:r w:rsidRPr="00854C23">
        <w:rPr>
          <w:rFonts w:ascii="Times New Roman" w:eastAsia="Times New Roman" w:hAnsi="Times New Roman" w:cs="Times New Roman"/>
          <w:bCs/>
          <w:i/>
          <w:iCs/>
          <w:sz w:val="24"/>
          <w:szCs w:val="24"/>
          <w:u w:val="single"/>
        </w:rPr>
        <w:t>sbarua@itmo.ru</w:t>
      </w:r>
    </w:p>
    <w:p w14:paraId="57D0E34B" w14:textId="77777777" w:rsidR="00585747" w:rsidRDefault="00585747" w:rsidP="00854C23">
      <w:pPr>
        <w:spacing w:line="240" w:lineRule="auto"/>
        <w:ind w:firstLine="397"/>
        <w:jc w:val="both"/>
        <w:rPr>
          <w:rFonts w:ascii="Times New Roman" w:eastAsia="Times New Roman" w:hAnsi="Times New Roman" w:cs="Times New Roman"/>
          <w:sz w:val="24"/>
          <w:szCs w:val="24"/>
        </w:rPr>
      </w:pPr>
      <w:r w:rsidRPr="00585747">
        <w:rPr>
          <w:rFonts w:ascii="Times New Roman" w:eastAsia="Times New Roman" w:hAnsi="Times New Roman" w:cs="Times New Roman"/>
          <w:sz w:val="24"/>
          <w:szCs w:val="24"/>
        </w:rPr>
        <w:t xml:space="preserve">This paper introduces a scalable and modular autonomous agricultural system for controlled environment agriculture (CEA), focusing on spinach cultivation, particularly in challenging regions like Siberia and the Russian Far East, notably Yakutia. The system integrates a mini-greenhouse with thermal insulation, an Arduino Pro control system, and </w:t>
      </w:r>
      <w:proofErr w:type="spellStart"/>
      <w:r w:rsidRPr="00585747">
        <w:rPr>
          <w:rFonts w:ascii="Times New Roman" w:eastAsia="Times New Roman" w:hAnsi="Times New Roman" w:cs="Times New Roman"/>
          <w:sz w:val="24"/>
          <w:szCs w:val="24"/>
        </w:rPr>
        <w:t>LoRaWAN</w:t>
      </w:r>
      <w:proofErr w:type="spellEnd"/>
      <w:r w:rsidRPr="00585747">
        <w:rPr>
          <w:rFonts w:ascii="Times New Roman" w:eastAsia="Times New Roman" w:hAnsi="Times New Roman" w:cs="Times New Roman"/>
          <w:sz w:val="24"/>
          <w:szCs w:val="24"/>
        </w:rPr>
        <w:t xml:space="preserve"> for remote monitoring and adjustments [1]. Key components include a Sensor Tower, Wireless Communications System, Control System, Power Management, and Controllable Units. Simulations suggest a power consumption of 25-30W for 15-20 spinach crops, supporting year-round cultivation without natural light. The system addresses pH control, temperature regulation (15-20℃), and lighting requirements (200-400 µmol/m²/s PAR) for optimal spinach growth, utilizing an SHT15 sensor module, LED lighting, and nutrient reservoir with a sensor [2-4]. It underscores the significance of maintaining pH levels, temperature control, sufficient lighting, and effective nutrient management for successful spinach growth in controlled environments, anticipating ongoing research advancements in CEA [5,6].</w:t>
      </w:r>
    </w:p>
    <w:p w14:paraId="3BF2572B" w14:textId="239AC698" w:rsidR="005C3419" w:rsidRPr="007C4662" w:rsidRDefault="005C3419" w:rsidP="00001C41">
      <w:pPr>
        <w:spacing w:line="240" w:lineRule="auto"/>
        <w:jc w:val="center"/>
        <w:rPr>
          <w:rFonts w:ascii="Times New Roman" w:eastAsia="Times New Roman" w:hAnsi="Times New Roman" w:cs="Times New Roman"/>
          <w:b/>
          <w:sz w:val="24"/>
          <w:szCs w:val="24"/>
          <w:lang w:val="en-US"/>
        </w:rPr>
      </w:pPr>
      <w:r w:rsidRPr="00001C41">
        <w:rPr>
          <w:rFonts w:ascii="Times New Roman" w:eastAsia="Times New Roman" w:hAnsi="Times New Roman" w:cs="Times New Roman"/>
          <w:b/>
          <w:sz w:val="24"/>
          <w:szCs w:val="24"/>
          <w:lang w:val="ru-RU"/>
        </w:rPr>
        <w:t>Литература</w:t>
      </w:r>
    </w:p>
    <w:p w14:paraId="00000011" w14:textId="1A5A7CCD" w:rsidR="00C5499C" w:rsidRDefault="00001C41" w:rsidP="00001C4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000000">
        <w:rPr>
          <w:rFonts w:ascii="Times New Roman" w:eastAsia="Times New Roman" w:hAnsi="Times New Roman" w:cs="Times New Roman"/>
          <w:sz w:val="24"/>
          <w:szCs w:val="24"/>
        </w:rPr>
        <w:t xml:space="preserve">Grunwald, A., Schaarschmidt, M., &amp; Westerkamp, C. (2019, May). </w:t>
      </w:r>
      <w:proofErr w:type="spellStart"/>
      <w:r w:rsidR="00000000">
        <w:rPr>
          <w:rFonts w:ascii="Times New Roman" w:eastAsia="Times New Roman" w:hAnsi="Times New Roman" w:cs="Times New Roman"/>
          <w:sz w:val="24"/>
          <w:szCs w:val="24"/>
        </w:rPr>
        <w:t>LoRaWAN</w:t>
      </w:r>
      <w:proofErr w:type="spellEnd"/>
      <w:r w:rsidR="00000000">
        <w:rPr>
          <w:rFonts w:ascii="Times New Roman" w:eastAsia="Times New Roman" w:hAnsi="Times New Roman" w:cs="Times New Roman"/>
          <w:sz w:val="24"/>
          <w:szCs w:val="24"/>
        </w:rPr>
        <w:t xml:space="preserve"> in a rural context: Use cases and opportunities for agricultural businesses. In Mobile Communication-Technologies and Applications; 24. ITG-Symposium (pp. 1-6). VDE.</w:t>
      </w:r>
    </w:p>
    <w:p w14:paraId="493B558E" w14:textId="1C729729" w:rsidR="007842BC" w:rsidRPr="007842BC" w:rsidRDefault="00001C41" w:rsidP="00001C41">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sidR="00000000" w:rsidRPr="007842BC">
        <w:rPr>
          <w:rFonts w:ascii="Times New Roman" w:eastAsia="Times New Roman" w:hAnsi="Times New Roman" w:cs="Times New Roman"/>
          <w:color w:val="000000"/>
          <w:sz w:val="24"/>
          <w:szCs w:val="24"/>
        </w:rPr>
        <w:t>Thi</w:t>
      </w:r>
      <w:proofErr w:type="spellEnd"/>
      <w:r w:rsidR="00000000" w:rsidRPr="007842BC">
        <w:rPr>
          <w:rFonts w:ascii="Times New Roman" w:eastAsia="Times New Roman" w:hAnsi="Times New Roman" w:cs="Times New Roman"/>
          <w:color w:val="000000"/>
          <w:sz w:val="24"/>
          <w:szCs w:val="24"/>
        </w:rPr>
        <w:t xml:space="preserve"> Phuong Dung, N., Ngoc Thang, V., Nguyen, Q.-T., Tran, T.-T.-H., Phi Bang, C., Kim, I.-S., &amp; Jang, D.-C. (2022). Growth and Quality of Hydroponic Cultivated Spinach (Spinacia oleracea L.) Affected by the Light Intensity of Red and Blue LEDs. Sains </w:t>
      </w:r>
      <w:proofErr w:type="spellStart"/>
      <w:r w:rsidR="00000000" w:rsidRPr="007842BC">
        <w:rPr>
          <w:rFonts w:ascii="Times New Roman" w:eastAsia="Times New Roman" w:hAnsi="Times New Roman" w:cs="Times New Roman"/>
          <w:color w:val="000000"/>
          <w:sz w:val="24"/>
          <w:szCs w:val="24"/>
        </w:rPr>
        <w:t>Malaysiana</w:t>
      </w:r>
      <w:proofErr w:type="spellEnd"/>
      <w:r w:rsidR="00000000" w:rsidRPr="007842BC">
        <w:rPr>
          <w:rFonts w:ascii="Times New Roman" w:eastAsia="Times New Roman" w:hAnsi="Times New Roman" w:cs="Times New Roman"/>
          <w:color w:val="000000"/>
          <w:sz w:val="24"/>
          <w:szCs w:val="24"/>
        </w:rPr>
        <w:t xml:space="preserve">, 51, 473-483. </w:t>
      </w:r>
      <w:hyperlink r:id="rId5">
        <w:r w:rsidR="00000000" w:rsidRPr="007842BC">
          <w:rPr>
            <w:rFonts w:ascii="Times New Roman" w:eastAsia="Times New Roman" w:hAnsi="Times New Roman" w:cs="Times New Roman"/>
            <w:color w:val="000000"/>
            <w:sz w:val="24"/>
            <w:szCs w:val="24"/>
            <w:u w:val="single"/>
          </w:rPr>
          <w:t>https://doi.org/10.17576/jsm-2022-5102-12</w:t>
        </w:r>
      </w:hyperlink>
    </w:p>
    <w:p w14:paraId="56BF4CDD" w14:textId="731DB115" w:rsidR="007842BC" w:rsidRPr="007842BC" w:rsidRDefault="00001C41" w:rsidP="00001C41">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000000" w:rsidRPr="007842BC">
        <w:rPr>
          <w:rFonts w:ascii="Times New Roman" w:eastAsia="Times New Roman" w:hAnsi="Times New Roman" w:cs="Times New Roman"/>
          <w:color w:val="000000"/>
          <w:sz w:val="24"/>
          <w:szCs w:val="24"/>
        </w:rPr>
        <w:t xml:space="preserve">Tang, Y., Guo, S., Ai, W. D., &amp; Qin, L. (2009). Effects of Red and Blue Light Emitting Diodes (LEDs) on the Growth and Development of Lettuce (var. </w:t>
      </w:r>
      <w:proofErr w:type="spellStart"/>
      <w:r w:rsidR="00000000" w:rsidRPr="007842BC">
        <w:rPr>
          <w:rFonts w:ascii="Times New Roman" w:eastAsia="Times New Roman" w:hAnsi="Times New Roman" w:cs="Times New Roman"/>
          <w:color w:val="000000"/>
          <w:sz w:val="24"/>
          <w:szCs w:val="24"/>
        </w:rPr>
        <w:t>Youmaicai</w:t>
      </w:r>
      <w:proofErr w:type="spellEnd"/>
      <w:r w:rsidR="00000000" w:rsidRPr="007842BC">
        <w:rPr>
          <w:rFonts w:ascii="Times New Roman" w:eastAsia="Times New Roman" w:hAnsi="Times New Roman" w:cs="Times New Roman"/>
          <w:color w:val="000000"/>
          <w:sz w:val="24"/>
          <w:szCs w:val="24"/>
        </w:rPr>
        <w:t xml:space="preserve">). SAE Technical Papers, 23, </w:t>
      </w:r>
      <w:hyperlink r:id="rId6">
        <w:r w:rsidR="00000000" w:rsidRPr="007842BC">
          <w:rPr>
            <w:rFonts w:ascii="Times New Roman" w:eastAsia="Times New Roman" w:hAnsi="Times New Roman" w:cs="Times New Roman"/>
            <w:color w:val="000000"/>
            <w:sz w:val="24"/>
            <w:szCs w:val="24"/>
            <w:u w:val="single"/>
          </w:rPr>
          <w:t>https://doi.org/10.4271/2009-01-2565</w:t>
        </w:r>
      </w:hyperlink>
      <w:r w:rsidR="00000000" w:rsidRPr="007842BC">
        <w:rPr>
          <w:rFonts w:ascii="Times New Roman" w:eastAsia="Times New Roman" w:hAnsi="Times New Roman" w:cs="Times New Roman"/>
          <w:color w:val="000000"/>
          <w:sz w:val="24"/>
          <w:szCs w:val="24"/>
        </w:rPr>
        <w:t>.</w:t>
      </w:r>
    </w:p>
    <w:p w14:paraId="573939FC" w14:textId="551F6921" w:rsidR="007842BC" w:rsidRPr="007842BC" w:rsidRDefault="00001C41" w:rsidP="00001C41">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spellStart"/>
      <w:r w:rsidR="00000000" w:rsidRPr="007842BC">
        <w:rPr>
          <w:rFonts w:ascii="Times New Roman" w:eastAsia="Times New Roman" w:hAnsi="Times New Roman" w:cs="Times New Roman"/>
          <w:color w:val="000000"/>
          <w:sz w:val="24"/>
          <w:szCs w:val="24"/>
        </w:rPr>
        <w:t>Stagnari</w:t>
      </w:r>
      <w:proofErr w:type="spellEnd"/>
      <w:r w:rsidR="00000000" w:rsidRPr="007842BC">
        <w:rPr>
          <w:rFonts w:ascii="Times New Roman" w:eastAsia="Times New Roman" w:hAnsi="Times New Roman" w:cs="Times New Roman"/>
          <w:color w:val="000000"/>
          <w:sz w:val="24"/>
          <w:szCs w:val="24"/>
        </w:rPr>
        <w:t xml:space="preserve">, F., </w:t>
      </w:r>
      <w:proofErr w:type="spellStart"/>
      <w:r w:rsidR="00000000" w:rsidRPr="007842BC">
        <w:rPr>
          <w:rFonts w:ascii="Times New Roman" w:eastAsia="Times New Roman" w:hAnsi="Times New Roman" w:cs="Times New Roman"/>
          <w:color w:val="000000"/>
          <w:sz w:val="24"/>
          <w:szCs w:val="24"/>
        </w:rPr>
        <w:t>Polilli</w:t>
      </w:r>
      <w:proofErr w:type="spellEnd"/>
      <w:r w:rsidR="00000000" w:rsidRPr="007842BC">
        <w:rPr>
          <w:rFonts w:ascii="Times New Roman" w:eastAsia="Times New Roman" w:hAnsi="Times New Roman" w:cs="Times New Roman"/>
          <w:color w:val="000000"/>
          <w:sz w:val="24"/>
          <w:szCs w:val="24"/>
        </w:rPr>
        <w:t xml:space="preserve">, W., Campanelli, G., </w:t>
      </w:r>
      <w:proofErr w:type="spellStart"/>
      <w:r w:rsidR="00000000" w:rsidRPr="007842BC">
        <w:rPr>
          <w:rFonts w:ascii="Times New Roman" w:eastAsia="Times New Roman" w:hAnsi="Times New Roman" w:cs="Times New Roman"/>
          <w:color w:val="000000"/>
          <w:sz w:val="24"/>
          <w:szCs w:val="24"/>
        </w:rPr>
        <w:t>Platani</w:t>
      </w:r>
      <w:proofErr w:type="spellEnd"/>
      <w:r w:rsidR="00000000" w:rsidRPr="007842BC">
        <w:rPr>
          <w:rFonts w:ascii="Times New Roman" w:eastAsia="Times New Roman" w:hAnsi="Times New Roman" w:cs="Times New Roman"/>
          <w:color w:val="000000"/>
          <w:sz w:val="24"/>
          <w:szCs w:val="24"/>
        </w:rPr>
        <w:t xml:space="preserve">, C., Trasmundi, F., </w:t>
      </w:r>
      <w:proofErr w:type="spellStart"/>
      <w:r w:rsidR="00000000" w:rsidRPr="007842BC">
        <w:rPr>
          <w:rFonts w:ascii="Times New Roman" w:eastAsia="Times New Roman" w:hAnsi="Times New Roman" w:cs="Times New Roman"/>
          <w:color w:val="000000"/>
          <w:sz w:val="24"/>
          <w:szCs w:val="24"/>
        </w:rPr>
        <w:t>Scortichini</w:t>
      </w:r>
      <w:proofErr w:type="spellEnd"/>
      <w:r w:rsidR="00000000" w:rsidRPr="007842BC">
        <w:rPr>
          <w:rFonts w:ascii="Times New Roman" w:eastAsia="Times New Roman" w:hAnsi="Times New Roman" w:cs="Times New Roman"/>
          <w:color w:val="000000"/>
          <w:sz w:val="24"/>
          <w:szCs w:val="24"/>
        </w:rPr>
        <w:t xml:space="preserve">, G., &amp; </w:t>
      </w:r>
      <w:proofErr w:type="spellStart"/>
      <w:r w:rsidR="00000000" w:rsidRPr="007842BC">
        <w:rPr>
          <w:rFonts w:ascii="Times New Roman" w:eastAsia="Times New Roman" w:hAnsi="Times New Roman" w:cs="Times New Roman"/>
          <w:color w:val="000000"/>
          <w:sz w:val="24"/>
          <w:szCs w:val="24"/>
        </w:rPr>
        <w:t>Galieni</w:t>
      </w:r>
      <w:proofErr w:type="spellEnd"/>
      <w:r w:rsidR="00000000" w:rsidRPr="007842BC">
        <w:rPr>
          <w:rFonts w:ascii="Times New Roman" w:eastAsia="Times New Roman" w:hAnsi="Times New Roman" w:cs="Times New Roman"/>
          <w:color w:val="000000"/>
          <w:sz w:val="24"/>
          <w:szCs w:val="24"/>
        </w:rPr>
        <w:t xml:space="preserve">, A. (2023). Nitrate Content Assessment in Spinach: Exploring the Potential of Spectral Reflectance in Open Field Experiments. Agronomy, 13, 193. </w:t>
      </w:r>
      <w:hyperlink r:id="rId7">
        <w:r w:rsidR="00000000" w:rsidRPr="007842BC">
          <w:rPr>
            <w:rFonts w:ascii="Times New Roman" w:eastAsia="Times New Roman" w:hAnsi="Times New Roman" w:cs="Times New Roman"/>
            <w:color w:val="000000"/>
            <w:sz w:val="24"/>
            <w:szCs w:val="24"/>
            <w:u w:val="single"/>
          </w:rPr>
          <w:t>https://doi.org/10.3390/agronomy13010193</w:t>
        </w:r>
      </w:hyperlink>
      <w:r w:rsidR="00000000" w:rsidRPr="007842BC">
        <w:rPr>
          <w:rFonts w:ascii="Times New Roman" w:eastAsia="Times New Roman" w:hAnsi="Times New Roman" w:cs="Times New Roman"/>
          <w:color w:val="000000"/>
          <w:sz w:val="24"/>
          <w:szCs w:val="24"/>
        </w:rPr>
        <w:t>.</w:t>
      </w:r>
    </w:p>
    <w:p w14:paraId="00000015" w14:textId="3110E7D6" w:rsidR="00C5499C" w:rsidRDefault="00001C41" w:rsidP="00001C4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000000">
        <w:rPr>
          <w:rFonts w:ascii="Times New Roman" w:eastAsia="Times New Roman" w:hAnsi="Times New Roman" w:cs="Times New Roman"/>
          <w:sz w:val="24"/>
          <w:szCs w:val="24"/>
        </w:rPr>
        <w:t xml:space="preserve">Bula, R. J., Morrow, R. C., Tibbitts, T. W., Barta, D. J., Ignatius, R. W., &amp; Martin, T. S. (1991). Light-emitting diodes as a radiation source for plants. </w:t>
      </w:r>
      <w:proofErr w:type="spellStart"/>
      <w:proofErr w:type="gramStart"/>
      <w:r w:rsidR="00000000">
        <w:rPr>
          <w:rFonts w:ascii="Times New Roman" w:eastAsia="Times New Roman" w:hAnsi="Times New Roman" w:cs="Times New Roman"/>
          <w:sz w:val="24"/>
          <w:szCs w:val="24"/>
        </w:rPr>
        <w:t>HortScience</w:t>
      </w:r>
      <w:proofErr w:type="spellEnd"/>
      <w:r w:rsidR="00000000">
        <w:rPr>
          <w:rFonts w:ascii="Times New Roman" w:eastAsia="Times New Roman" w:hAnsi="Times New Roman" w:cs="Times New Roman"/>
          <w:sz w:val="24"/>
          <w:szCs w:val="24"/>
        </w:rPr>
        <w:t xml:space="preserve"> :</w:t>
      </w:r>
      <w:proofErr w:type="gramEnd"/>
      <w:r w:rsidR="00000000">
        <w:rPr>
          <w:rFonts w:ascii="Times New Roman" w:eastAsia="Times New Roman" w:hAnsi="Times New Roman" w:cs="Times New Roman"/>
          <w:sz w:val="24"/>
          <w:szCs w:val="24"/>
        </w:rPr>
        <w:t xml:space="preserve"> a publication of the American Society for Horticultural Science, 26(2), 203–205.</w:t>
      </w:r>
    </w:p>
    <w:p w14:paraId="00000016" w14:textId="709AD634" w:rsidR="00C5499C" w:rsidRDefault="00001C41" w:rsidP="00001C41">
      <w:pPr>
        <w:spacing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6. </w:t>
      </w:r>
      <w:r w:rsidR="00000000" w:rsidRPr="007842BC">
        <w:rPr>
          <w:rFonts w:ascii="Times New Roman" w:eastAsia="Times New Roman" w:hAnsi="Times New Roman" w:cs="Times New Roman"/>
          <w:color w:val="000000"/>
          <w:sz w:val="24"/>
          <w:szCs w:val="24"/>
        </w:rPr>
        <w:t xml:space="preserve">LAZAR T. (2003). Taiz, L. and Zeiger, E. Plant physiology. 3rd </w:t>
      </w:r>
      <w:proofErr w:type="spellStart"/>
      <w:r w:rsidR="00000000" w:rsidRPr="007842BC">
        <w:rPr>
          <w:rFonts w:ascii="Times New Roman" w:eastAsia="Times New Roman" w:hAnsi="Times New Roman" w:cs="Times New Roman"/>
          <w:color w:val="000000"/>
          <w:sz w:val="24"/>
          <w:szCs w:val="24"/>
        </w:rPr>
        <w:t>edn</w:t>
      </w:r>
      <w:proofErr w:type="spellEnd"/>
      <w:r w:rsidR="00000000" w:rsidRPr="007842BC">
        <w:rPr>
          <w:rFonts w:ascii="Times New Roman" w:eastAsia="Times New Roman" w:hAnsi="Times New Roman" w:cs="Times New Roman"/>
          <w:color w:val="000000"/>
          <w:sz w:val="24"/>
          <w:szCs w:val="24"/>
        </w:rPr>
        <w:t xml:space="preserve">. Annals of Botany, 91(6), 750–751. </w:t>
      </w:r>
      <w:hyperlink r:id="rId8">
        <w:r w:rsidR="00000000" w:rsidRPr="007842BC">
          <w:rPr>
            <w:rFonts w:ascii="Times New Roman" w:eastAsia="Times New Roman" w:hAnsi="Times New Roman" w:cs="Times New Roman"/>
            <w:color w:val="000000"/>
            <w:sz w:val="24"/>
            <w:szCs w:val="24"/>
            <w:u w:val="single"/>
          </w:rPr>
          <w:t>https://doi.org/10.1093/aob/mcg079</w:t>
        </w:r>
      </w:hyperlink>
    </w:p>
    <w:sectPr w:rsidR="00C5499C" w:rsidSect="00070F1B">
      <w:pgSz w:w="11909" w:h="16834"/>
      <w:pgMar w:top="1134" w:right="1361" w:bottom="1134" w:left="136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A56E3"/>
    <w:multiLevelType w:val="multilevel"/>
    <w:tmpl w:val="2F9247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3133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9C"/>
    <w:rsid w:val="00001C41"/>
    <w:rsid w:val="00070F1B"/>
    <w:rsid w:val="000C4A95"/>
    <w:rsid w:val="00282779"/>
    <w:rsid w:val="00574815"/>
    <w:rsid w:val="00585747"/>
    <w:rsid w:val="005C3419"/>
    <w:rsid w:val="007842BC"/>
    <w:rsid w:val="007C4662"/>
    <w:rsid w:val="00854C23"/>
    <w:rsid w:val="00A96A29"/>
    <w:rsid w:val="00B33892"/>
    <w:rsid w:val="00C549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02475"/>
  <w15:docId w15:val="{8A2BCB48-A858-4B46-8535-31D0EF4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89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aob/mcg079" TargetMode="External"/><Relationship Id="rId3" Type="http://schemas.openxmlformats.org/officeDocument/2006/relationships/settings" Target="settings.xml"/><Relationship Id="rId7" Type="http://schemas.openxmlformats.org/officeDocument/2006/relationships/hyperlink" Target="https://doi.org/10.3390/agronomy130101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4271/2009-01-2565" TargetMode="External"/><Relationship Id="rId5" Type="http://schemas.openxmlformats.org/officeDocument/2006/relationships/hyperlink" Target="https://doi.org/10.17576/jsm-2022-5102-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SUBHRAJIT</dc:creator>
  <cp:lastModifiedBy>Иван Chernoukhov</cp:lastModifiedBy>
  <cp:revision>4</cp:revision>
  <dcterms:created xsi:type="dcterms:W3CDTF">2024-03-24T15:03:00Z</dcterms:created>
  <dcterms:modified xsi:type="dcterms:W3CDTF">2024-03-24T15:05:00Z</dcterms:modified>
</cp:coreProperties>
</file>