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FB4" w:rsidRPr="00A96AFB" w:rsidRDefault="00DC7FB4" w:rsidP="00DC7F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FB4">
        <w:rPr>
          <w:rFonts w:ascii="Times New Roman" w:hAnsi="Times New Roman" w:cs="Times New Roman"/>
          <w:b/>
          <w:sz w:val="24"/>
          <w:szCs w:val="24"/>
        </w:rPr>
        <w:t xml:space="preserve">Этап адаптации </w:t>
      </w:r>
      <w:proofErr w:type="spellStart"/>
      <w:r w:rsidRPr="00DC7FB4">
        <w:rPr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DC7F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C7FB4">
        <w:rPr>
          <w:rFonts w:ascii="Times New Roman" w:hAnsi="Times New Roman" w:cs="Times New Roman"/>
          <w:b/>
          <w:sz w:val="24"/>
          <w:szCs w:val="24"/>
        </w:rPr>
        <w:t>vitro</w:t>
      </w:r>
      <w:proofErr w:type="spellEnd"/>
      <w:r w:rsidRPr="00DC7FB4">
        <w:rPr>
          <w:rFonts w:ascii="Times New Roman" w:hAnsi="Times New Roman" w:cs="Times New Roman"/>
          <w:b/>
          <w:sz w:val="24"/>
          <w:szCs w:val="24"/>
        </w:rPr>
        <w:t xml:space="preserve"> растен</w:t>
      </w:r>
      <w:r>
        <w:rPr>
          <w:rFonts w:ascii="Times New Roman" w:hAnsi="Times New Roman" w:cs="Times New Roman"/>
          <w:b/>
          <w:sz w:val="24"/>
          <w:szCs w:val="24"/>
        </w:rPr>
        <w:t>ий малины к нестерильным услови</w:t>
      </w:r>
      <w:r w:rsidRPr="00DC7FB4">
        <w:rPr>
          <w:rFonts w:ascii="Times New Roman" w:hAnsi="Times New Roman" w:cs="Times New Roman"/>
          <w:b/>
          <w:sz w:val="24"/>
          <w:szCs w:val="24"/>
        </w:rPr>
        <w:t>ям</w:t>
      </w:r>
    </w:p>
    <w:p w:rsidR="00DC7FB4" w:rsidRPr="00A96AFB" w:rsidRDefault="00DC7FB4" w:rsidP="00DC7FB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96AFB">
        <w:rPr>
          <w:rFonts w:ascii="Times New Roman" w:hAnsi="Times New Roman" w:cs="Times New Roman"/>
          <w:i/>
          <w:sz w:val="24"/>
          <w:szCs w:val="24"/>
        </w:rPr>
        <w:t>К.С. Суслова</w:t>
      </w:r>
    </w:p>
    <w:p w:rsidR="00DC7FB4" w:rsidRPr="00CC51A5" w:rsidRDefault="00DC7FB4" w:rsidP="00DC7FB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CC51A5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Алтайский ГАУ, агрономический факультет, Барнаул, Россия</w:t>
      </w:r>
    </w:p>
    <w:p w:rsidR="00DC7FB4" w:rsidRPr="00CC51A5" w:rsidRDefault="00DC7FB4" w:rsidP="00DC7FB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CC51A5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 w:eastAsia="ru-RU"/>
        </w:rPr>
        <w:t>E–mail: kristina.suslova.95@mail.ru</w:t>
      </w:r>
    </w:p>
    <w:p w:rsidR="00DC7FB4" w:rsidRPr="00DC7FB4" w:rsidRDefault="00DC7FB4" w:rsidP="00DC7FB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FB4">
        <w:rPr>
          <w:rFonts w:ascii="Times New Roman" w:eastAsia="Calibri" w:hAnsi="Times New Roman" w:cs="Times New Roman"/>
          <w:sz w:val="24"/>
          <w:szCs w:val="24"/>
        </w:rPr>
        <w:t>Плодовые и ягодные культуры имеют важное хозяйственное и экономическое значение. Они служат основным источником биологически активных веществ. Один из резервов повышения производства плодов и ягод – использование для закладки плантаций оздоровленного высококачественного посадочного материала, выращенного с использованием современных биотехнологических методов [1].</w:t>
      </w:r>
    </w:p>
    <w:p w:rsidR="00DC7FB4" w:rsidRPr="00DC7FB4" w:rsidRDefault="00DC7FB4" w:rsidP="00DC7FB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Для усовершенствования технологии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клонального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микроразмножения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необходимо тщательно проводить исследования по подбору оптимальных условий выращивания на всех этапах. Особо следует уделить внимание этапу адаптации клонированных растений к условиям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ex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vitro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>, на котором нередко можно наблюдать 100%-ю гибель растений-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регенерантов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[2]. Поэтому подбор эффективных технологий, позволяющих решить существующие проблемы адаптации растений, является актуальным направлением исследований в области биотехнологии растений.</w:t>
      </w:r>
    </w:p>
    <w:p w:rsidR="00DC7FB4" w:rsidRPr="00DC7FB4" w:rsidRDefault="00DC7FB4" w:rsidP="00DC7FB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Цель наших исследований заключалась в оптимизации приемов культивирования перспективных сортов малины </w:t>
      </w:r>
      <w:r w:rsidRPr="00DC7FB4">
        <w:rPr>
          <w:rFonts w:ascii="Times New Roman" w:eastAsia="Calibri" w:hAnsi="Times New Roman" w:cs="Times New Roman"/>
          <w:sz w:val="24"/>
          <w:szCs w:val="24"/>
          <w:lang w:val="en-US"/>
        </w:rPr>
        <w:t>in</w:t>
      </w: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C7FB4">
        <w:rPr>
          <w:rFonts w:ascii="Times New Roman" w:eastAsia="Calibri" w:hAnsi="Times New Roman" w:cs="Times New Roman"/>
          <w:sz w:val="24"/>
          <w:szCs w:val="24"/>
          <w:lang w:val="en-US"/>
        </w:rPr>
        <w:t>vitro</w:t>
      </w: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на этапе адаптации к нестерильным условиям.</w:t>
      </w:r>
    </w:p>
    <w:p w:rsidR="00DC7FB4" w:rsidRPr="00DC7FB4" w:rsidRDefault="00DC7FB4" w:rsidP="00DC7F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В лаборатории микроклонального размножения ФГБОУ ВО Алтайского ГАУ изучали приемы культивирования растений малины </w:t>
      </w:r>
      <w:r w:rsidRPr="00DC7FB4">
        <w:rPr>
          <w:rFonts w:ascii="Times New Roman" w:eastAsia="Calibri" w:hAnsi="Times New Roman" w:cs="Times New Roman"/>
          <w:sz w:val="24"/>
          <w:szCs w:val="24"/>
          <w:lang w:val="en-US"/>
        </w:rPr>
        <w:t>in</w:t>
      </w: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C7FB4">
        <w:rPr>
          <w:rFonts w:ascii="Times New Roman" w:eastAsia="Calibri" w:hAnsi="Times New Roman" w:cs="Times New Roman"/>
          <w:sz w:val="24"/>
          <w:szCs w:val="24"/>
          <w:lang w:val="en-US"/>
        </w:rPr>
        <w:t>vitro</w:t>
      </w: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на этапе адаптации к </w:t>
      </w:r>
      <w:r w:rsidRPr="00DC7FB4">
        <w:rPr>
          <w:rFonts w:ascii="Times New Roman" w:eastAsia="Calibri" w:hAnsi="Times New Roman" w:cs="Times New Roman"/>
          <w:sz w:val="24"/>
          <w:szCs w:val="24"/>
          <w:lang w:val="en-US"/>
        </w:rPr>
        <w:t>ex</w:t>
      </w: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C7FB4">
        <w:rPr>
          <w:rFonts w:ascii="Times New Roman" w:eastAsia="Calibri" w:hAnsi="Times New Roman" w:cs="Times New Roman"/>
          <w:sz w:val="24"/>
          <w:szCs w:val="24"/>
          <w:lang w:val="en-US"/>
        </w:rPr>
        <w:t>vitro</w:t>
      </w: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DC7F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Исследования в открытом грунте проводили в условиях умеренно засушливой </w:t>
      </w:r>
      <w:proofErr w:type="spellStart"/>
      <w:r w:rsidRPr="00DC7F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колочной</w:t>
      </w:r>
      <w:proofErr w:type="spellEnd"/>
      <w:r w:rsidRPr="00DC7F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степи Алтайского края. Климат зоны характеризуется, как резко континентальный с продолжительной зимой, коротким и жарким летом, резкими колебаниями температуры и сильной изменчивостью погоды по годам.</w:t>
      </w:r>
    </w:p>
    <w:p w:rsidR="00DC7FB4" w:rsidRPr="00DC7FB4" w:rsidRDefault="00DC7FB4" w:rsidP="00DC7FB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Объектами исследования служили сорта малины Геракл, Оранжевое чудо, Атлант, Золотая осень, Барнаульская. Для адаптации использовали размноженные растения на питательной среде, содержащей минеральные соли по прописи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Мурасиге-Скуга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(МС), 6-бензиламинопурин (6-БАП) – 1 мг/л, индолилуксусную кислоту (ИУК) – 0,5 мг/л, а также сахарозу – 3% и агар-агар – 0,8%. </w:t>
      </w:r>
    </w:p>
    <w:p w:rsidR="00DC7FB4" w:rsidRPr="00DC7FB4" w:rsidRDefault="00DC7FB4" w:rsidP="00DC7FB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В ходе исследований применяли адаптацию клоновых растений к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ex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vitro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в условиях теплицы, с последующим переносом растений в открытый грунт. </w:t>
      </w:r>
    </w:p>
    <w:p w:rsidR="00DC7FB4" w:rsidRPr="00DC7FB4" w:rsidRDefault="00DC7FB4" w:rsidP="00DC7F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Схема эксперимента приведена на рисунках 1 - 2. Приживаемость и успешное развитие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микрорастений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при адаптации зависят от комплекса таких факторов, как тип субстрата, освещенность, температура и влажность воздуха, инфекционная нагрузка и др. [2, 3, 4]. На первом этапе адаптации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микроклоны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переносили в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минипарнички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, накрытые прозрачными колпаками, заполненные универсальным грунтом. В состав грунта входили: верховой торф, низинный торф, песок, известняковая (доломитовая) мука в соотношении 1:1:1:1, комплексное минеральное удобрение с микроэлементами и макроэлементами (азот – 350 мг/кг, фосфор – 400 мг/ кг, калий – 500 мг/кг),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pH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– 6,5 [3,4].</w:t>
      </w:r>
    </w:p>
    <w:p w:rsidR="00DC7FB4" w:rsidRPr="00DC7FB4" w:rsidRDefault="00DC7FB4" w:rsidP="00DC7FB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Повторность опыта трехкратная, по 10 растений в каждой повторности. Перенос пробирочных растений в нестерильные условия проводили в начале апреля. В ряде литературных источников указано, что после пересадки растений в почву, отмечена остановка в росте, опадание листьев и гибель растений. Эти явления связаны, напрямую с тем, что у пробирочных растений нарушена деятельность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устьичного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аппарата, в следствие чего происходит потеря большого количества воды [4,5]. Поэтому, в условиях теплицы для адаптации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микрорастениям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в течение 2 недель обеспечивали высокую влажность (80-90 %). При этом постепенно увеличивали продолжительность ежедневного кратковременного проветривания, температуру поддерживали в интервале 20- 25 °С. Учет роста и развития растений проводили 4 раза с интервалом в 14 дней, при этом определяли такие параметры, как приживаемость, суммарная и средняя длина побегов, среднее число побегов и площадь листовой поверхности. У размноженных и высаженных в нестерильный субстрат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микрорастений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, при сравнении с пробирочными сеянцами, в первую очередь наблюдалась </w:t>
      </w:r>
      <w:r w:rsidRPr="00DC7FB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остановка ростовых процессов в первые 2-3 недели опыта, в этот период анализируемые растения испытывают стресс после высадки. Как правило, в этот момент происходит наибольший выпад материала. В условиях опыта, отмечен высокий коэффициент приживаемость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микрорастений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минипарничках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. У сорта Барнаульская составил 100%, в то время, как у сорта Золотая осень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адаптируемость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была на уровне 80%. Затем, в первой декаде июня, окрепшие растения перенесли в условия открытого грунта. </w:t>
      </w:r>
    </w:p>
    <w:p w:rsidR="00DC7FB4" w:rsidRPr="00DC7FB4" w:rsidRDefault="00DC7FB4" w:rsidP="00DC7F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DC7FB4" w:rsidRPr="00DC7FB4" w:rsidTr="00B4337E">
        <w:tc>
          <w:tcPr>
            <w:tcW w:w="4814" w:type="dxa"/>
            <w:shd w:val="clear" w:color="auto" w:fill="auto"/>
          </w:tcPr>
          <w:p w:rsidR="00DC7FB4" w:rsidRPr="00DC7FB4" w:rsidRDefault="00DC7FB4" w:rsidP="00DC7F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FB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85875" cy="1724025"/>
                  <wp:effectExtent l="0" t="0" r="9525" b="9525"/>
                  <wp:docPr id="4" name="Рисунок 4" descr="https://sun9-west.userapi.com/sun9-70/s/v1/ig2/fTiv5XhRxaXQQWq3tXRZD2opilwWHLyPC-Ue2lw5FfUhr3kO0M1qzrFjR3xuZYPR-RS1OJNZgcO_A_1_lExhIwM_.jpg?size=810x1080&amp;quality=95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s://sun9-west.userapi.com/sun9-70/s/v1/ig2/fTiv5XhRxaXQQWq3tXRZD2opilwWHLyPC-Ue2lw5FfUhr3kO0M1qzrFjR3xuZYPR-RS1OJNZgcO_A_1_lExhIwM_.jpg?size=810x1080&amp;quality=95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shd w:val="clear" w:color="auto" w:fill="auto"/>
          </w:tcPr>
          <w:p w:rsidR="00DC7FB4" w:rsidRPr="00DC7FB4" w:rsidRDefault="00DC7FB4" w:rsidP="00DC7F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FB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85875" cy="1724025"/>
                  <wp:effectExtent l="0" t="0" r="9525" b="9525"/>
                  <wp:docPr id="3" name="Рисунок 3" descr="https://sun9-west.userapi.com/sun9-16/s/v1/ig2/8CtFpCv2RHdERagiJNt4u7nnUG6Sd45kPvS3MvTd6R5ddkChp3EwpLWjYjfmso66BpEtWVf-M2s-4T9PvISaW6xA.jpg?size=810x1080&amp;quality=95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s://sun9-west.userapi.com/sun9-16/s/v1/ig2/8CtFpCv2RHdERagiJNt4u7nnUG6Sd45kPvS3MvTd6R5ddkChp3EwpLWjYjfmso66BpEtWVf-M2s-4T9PvISaW6xA.jpg?size=810x1080&amp;quality=95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7FB4" w:rsidRPr="00DC7FB4" w:rsidTr="00B4337E">
        <w:tc>
          <w:tcPr>
            <w:tcW w:w="4814" w:type="dxa"/>
            <w:shd w:val="clear" w:color="auto" w:fill="auto"/>
          </w:tcPr>
          <w:p w:rsidR="00DC7FB4" w:rsidRPr="00DC7FB4" w:rsidRDefault="00DC7FB4" w:rsidP="00DC7F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F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Рисунок 1 – Адаптация растений в условиях теплицы </w:t>
            </w:r>
          </w:p>
        </w:tc>
        <w:tc>
          <w:tcPr>
            <w:tcW w:w="4814" w:type="dxa"/>
            <w:shd w:val="clear" w:color="auto" w:fill="auto"/>
          </w:tcPr>
          <w:p w:rsidR="00DC7FB4" w:rsidRPr="00DC7FB4" w:rsidRDefault="00DC7FB4" w:rsidP="00DC7F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F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Рисунок 2- Адаптация </w:t>
            </w:r>
            <w:proofErr w:type="spellStart"/>
            <w:r w:rsidRPr="00DC7FB4">
              <w:rPr>
                <w:rFonts w:ascii="Times New Roman" w:eastAsia="Calibri" w:hAnsi="Times New Roman" w:cs="Times New Roman"/>
                <w:sz w:val="24"/>
                <w:szCs w:val="24"/>
              </w:rPr>
              <w:t>микрорастений</w:t>
            </w:r>
            <w:proofErr w:type="spellEnd"/>
            <w:r w:rsidRPr="00DC7F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условиях открытого грунта</w:t>
            </w:r>
          </w:p>
        </w:tc>
      </w:tr>
    </w:tbl>
    <w:p w:rsidR="00DC7FB4" w:rsidRPr="00DC7FB4" w:rsidRDefault="00DC7FB4" w:rsidP="00DC7FB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После появления у адаптируемых растений первых листьев скорость роста постепенно увеличивается, отмечено появление новых листьев. Выпады на этом этапе уже не значительны. По анализу данных ростовых показателей у изучаемых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микроклонов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малины к нестерильным условиям, можно сделать вывод, что скорость роста побегов заметно усиливается у растений спустя 30 дней после пересадки.</w:t>
      </w:r>
    </w:p>
    <w:p w:rsidR="00DC7FB4" w:rsidRPr="00DC7FB4" w:rsidRDefault="00DC7FB4" w:rsidP="00DC7FB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Полученные результаты позволяют повысить практическую значимость используемых биотехнологических приемов в системе производства посадочного материала ягодных культур. На основании проведенных исследований, можно сделать вывод, что на последнем этапе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клонального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микроразмножения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для малины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ex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vitro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целесообразно применять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минипарнички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>, которые позволяют получать высококачественный оздоровленный посадочный материал.</w:t>
      </w:r>
    </w:p>
    <w:p w:rsidR="00DC7FB4" w:rsidRPr="00DC7FB4" w:rsidRDefault="00DC7FB4" w:rsidP="00DC7FB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FB4" w:rsidRPr="00DC7FB4" w:rsidRDefault="00DC7FB4" w:rsidP="00DC7FB4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C7FB4">
        <w:rPr>
          <w:rFonts w:ascii="Times New Roman" w:eastAsia="Calibri" w:hAnsi="Times New Roman" w:cs="Times New Roman"/>
          <w:sz w:val="24"/>
          <w:szCs w:val="24"/>
        </w:rPr>
        <w:t>СПИСОК ЛИТЕРАТУРЫ</w:t>
      </w:r>
    </w:p>
    <w:p w:rsidR="00DC7FB4" w:rsidRPr="00DC7FB4" w:rsidRDefault="00DC7FB4" w:rsidP="00DC7FB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Акимова С.В. Эффективность применения модификаций препарата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Суперстим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в малых дозах на этапе индукции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ризогенеза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растений рода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Rubus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L. с учетом последействия на этапе адаптации / С.В. Акимова, О.Н.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Аладина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, В.В.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Киркач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, А.Н.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Викулина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, А.П.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Глинушкин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// Достижения науки и техники АПК. 2017. Т. 31. № 2. С. 39-44.</w:t>
      </w:r>
    </w:p>
    <w:p w:rsidR="00DC7FB4" w:rsidRPr="00DC7FB4" w:rsidRDefault="00DC7FB4" w:rsidP="00DC7FB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Деменко В.И., Лебедев В.Г.,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Шестибратов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К.А. Адаптация растений, полученных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in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vitro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, к нестерильным условиям // Известия ТСХА. 2010.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Вып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>. 1. С. 73–85.</w:t>
      </w:r>
    </w:p>
    <w:p w:rsidR="00DC7FB4" w:rsidRPr="00DC7FB4" w:rsidRDefault="00DC7FB4" w:rsidP="00DC7FB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Сковородников Д.Н., Райков И.А.,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Челяев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Д.Н. Адаптация полученных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in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vitro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растений малины к нестерильным условиям// Вестник Орловского государственного аграрного университета. 2012. Т. 35. № 2. С. 70–72. </w:t>
      </w:r>
    </w:p>
    <w:p w:rsidR="00DC7FB4" w:rsidRPr="00DC7FB4" w:rsidRDefault="00DC7FB4" w:rsidP="00DC7FB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Шорников Д.Г., Янковская М.Б., Муратова С.А. Укоренение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in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vitro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 и адаптация нетрадиционных садовых культур // VIII Международная научно-методическая конференция «Интродукция нетрадиционных и редких растений». Воронеж: Кварта. 2008. Т. 1. С. 335–337. 20</w:t>
      </w:r>
    </w:p>
    <w:p w:rsidR="00DC7FB4" w:rsidRPr="00DC7FB4" w:rsidRDefault="00DC7FB4" w:rsidP="00DC7FB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FB4">
        <w:rPr>
          <w:rFonts w:ascii="Times New Roman" w:eastAsia="Calibri" w:hAnsi="Times New Roman" w:cs="Times New Roman"/>
          <w:sz w:val="24"/>
          <w:szCs w:val="24"/>
        </w:rPr>
        <w:t xml:space="preserve">Казаков И.В. Ягодные культуры в Центральном регионе России / И. В. Казаков, С. Д. </w:t>
      </w:r>
      <w:proofErr w:type="spellStart"/>
      <w:r w:rsidRPr="00DC7FB4">
        <w:rPr>
          <w:rFonts w:ascii="Times New Roman" w:eastAsia="Calibri" w:hAnsi="Times New Roman" w:cs="Times New Roman"/>
          <w:sz w:val="24"/>
          <w:szCs w:val="24"/>
        </w:rPr>
        <w:t>Айтджанов</w:t>
      </w:r>
      <w:proofErr w:type="spellEnd"/>
      <w:r w:rsidRPr="00DC7FB4">
        <w:rPr>
          <w:rFonts w:ascii="Times New Roman" w:eastAsia="Calibri" w:hAnsi="Times New Roman" w:cs="Times New Roman"/>
          <w:sz w:val="24"/>
          <w:szCs w:val="24"/>
        </w:rPr>
        <w:t>, С. Н. Евдокименко и др. М.: ФГБНУ ВСТИСП, 2016. 233 с.</w:t>
      </w:r>
    </w:p>
    <w:p w:rsidR="00BA1290" w:rsidRPr="00DC7FB4" w:rsidRDefault="00BA1290">
      <w:pPr>
        <w:rPr>
          <w:lang w:val="en-US"/>
        </w:rPr>
      </w:pPr>
      <w:bookmarkStart w:id="0" w:name="_GoBack"/>
      <w:bookmarkEnd w:id="0"/>
    </w:p>
    <w:sectPr w:rsidR="00BA1290" w:rsidRPr="00DC7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06E93"/>
    <w:multiLevelType w:val="hybridMultilevel"/>
    <w:tmpl w:val="C938FE1A"/>
    <w:lvl w:ilvl="0" w:tplc="6D2471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A56"/>
    <w:rsid w:val="00BA1290"/>
    <w:rsid w:val="00D00A56"/>
    <w:rsid w:val="00DC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7AB48"/>
  <w15:chartTrackingRefBased/>
  <w15:docId w15:val="{40AAF995-C287-47FA-AE79-14DE8818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947</Words>
  <Characters>5403</Characters>
  <Application>Microsoft Office Word</Application>
  <DocSecurity>0</DocSecurity>
  <Lines>45</Lines>
  <Paragraphs>12</Paragraphs>
  <ScaleCrop>false</ScaleCrop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2</cp:revision>
  <dcterms:created xsi:type="dcterms:W3CDTF">2023-04-06T17:54:00Z</dcterms:created>
  <dcterms:modified xsi:type="dcterms:W3CDTF">2023-04-06T17:56:00Z</dcterms:modified>
</cp:coreProperties>
</file>