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2E4699" w:rsidRDefault="00B10E8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приоритетных регионов для развития распределенной энергетики на базе мини-ТЭЦ</w:t>
      </w:r>
    </w:p>
    <w:p w:rsidR="00BD455C" w:rsidRPr="002E4699" w:rsidRDefault="00B10E8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Ушаков А.А.</w:t>
      </w:r>
    </w:p>
    <w:p w:rsidR="00BD455C" w:rsidRPr="002E4699" w:rsidRDefault="005F2B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Студент, 4 курс </w:t>
      </w:r>
      <w:proofErr w:type="spellStart"/>
      <w:r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бакалавриата</w:t>
      </w:r>
      <w:proofErr w:type="spellEnd"/>
    </w:p>
    <w:p w:rsidR="001C2BB5" w:rsidRPr="002E4699" w:rsidRDefault="001C2BB5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Новосибирский государственный технический университет, </w:t>
      </w:r>
      <w:r w:rsidR="005F2B12"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факультет энергетики, Новосибирск, Россия</w:t>
      </w:r>
    </w:p>
    <w:p w:rsidR="00BD455C" w:rsidRPr="002E4699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2E46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r w:rsidR="00B10E82" w:rsidRPr="002E469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ushakov3015@gmail.com</w:t>
      </w:r>
    </w:p>
    <w:p w:rsidR="00B10E82" w:rsidRPr="002E4699" w:rsidRDefault="00B10E82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E82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повышения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производства являются актуальными, что указывается в Энергетической стратегии России до 2035 года. </w:t>
      </w:r>
      <w:proofErr w:type="gram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многих городах России низкая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производства энергии на обусловлена рядом процессов: переводом ТЭЦ в крупные котельные с прекращением выработки электроэнергии; борьбой за вытеснение с рынка бывших промышленных котельных, перешедших в разряд отопительных с переключением на ТЭЦ их тепловой нагрузки.</w:t>
      </w:r>
      <w:proofErr w:type="gram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значимое влияние оказывает раздельное производство тепловой и электрической энергии во многих муниципальных образованиях. Даже в большинстве малых и средних городов, производство тепловой энергии реализуется на котельных [1].</w:t>
      </w:r>
    </w:p>
    <w:p w:rsidR="00B10E82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средств повышения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производства тепловой и электрической энергии является применение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когенерационных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для выработки тепловой и электрической энергии. На уровне государственной политики приняты соответствующие решения и стимулируется развитие малой распределенной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когенерации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селитебных зонах. ПП РФ от 31.12.2009 г. № 1221, ПП РФ от 15.12.2017 г. № 1562 обязывают при реконструкции муниципальных котельных применение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когенерационных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технологий, трансформируя котельные в мини-ТЭЦ.  Трансформация котельных в мини-ТЭЦ позволит повысить объемы комбинированного производства тепловой и электрической энергии, при этом возникают задачи выбора технологий производства энергии, а также приоритетных мест реализации указанных мероприятий. </w:t>
      </w:r>
    </w:p>
    <w:p w:rsidR="00B10E82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Мини-ТЭЦ представляет собой совокупность установок, работающих на общем принципе –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когенерации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представляющем собой процесс совместного производства электрической и тепловой энергии внутри одного устройства –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когенерационной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установки. Следует выделить три важных момента для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когенерационных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установок: </w:t>
      </w:r>
    </w:p>
    <w:p w:rsidR="00B10E82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1. Количество производимого тепла одной электростанцией зависит от количества производимой ей электроэнергии. При снижении электрической мощности падает количество производимого тепла, и наоборот.</w:t>
      </w:r>
    </w:p>
    <w:p w:rsidR="00B10E82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При работе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газопоршневой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газотурбинной электростанции нельзя регулировать мощность производимого тепла. Можно лишь только снизить степень его утилизации, направив часть тепла на сброс через системы охлаждения.</w:t>
      </w:r>
    </w:p>
    <w:p w:rsidR="00B10E82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Мощность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газопоршневых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газотурбинных электростанций (мини-ТЭЦ) определяется исходя из требуемой электрической мощности. Нехватка тепловых мощностей покрывается путем установки дополнительных теплофикационных котлов.</w:t>
      </w:r>
    </w:p>
    <w:p w:rsidR="00BD455C" w:rsidRPr="002E4699" w:rsidRDefault="00B10E82" w:rsidP="00B10E8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типами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когенерационных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на Мини-ТЭЦ являются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газопоршневая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установка (ГПУ) и газотурбинная установка (ГТУ), в таблице 1 и рисунке 1 приведены сравнительные характеристики ГТУ и ГПУ.</w:t>
      </w:r>
    </w:p>
    <w:p w:rsidR="00A81C55" w:rsidRPr="002E4699" w:rsidRDefault="00A81C55" w:rsidP="00A81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C55" w:rsidRPr="002E4699" w:rsidRDefault="00A81C55" w:rsidP="00A81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1. Сравнение технических характеристик ГТУ и ГПУ [2]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3413"/>
        <w:gridCol w:w="3031"/>
        <w:gridCol w:w="2830"/>
      </w:tblGrid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Показатель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ГПУ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ГТУ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Удельный расход топлива,</w:t>
            </w:r>
            <w:r w:rsidRPr="002E4699">
              <w:rPr>
                <w:color w:val="auto"/>
              </w:rPr>
              <w:t xml:space="preserve"> </w:t>
            </w:r>
            <w:proofErr w:type="spellStart"/>
            <w:proofErr w:type="gramStart"/>
            <w:r w:rsidRPr="002E4699">
              <w:rPr>
                <w:color w:val="auto"/>
              </w:rPr>
              <w:t>г</w:t>
            </w:r>
            <w:proofErr w:type="gramEnd"/>
            <w:r w:rsidRPr="002E4699">
              <w:rPr>
                <w:color w:val="auto"/>
              </w:rPr>
              <w:t>.у.т</w:t>
            </w:r>
            <w:proofErr w:type="spellEnd"/>
            <w:r w:rsidRPr="002E4699">
              <w:rPr>
                <w:color w:val="auto"/>
              </w:rPr>
              <w:t>./ кВт·ч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170–190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220 – 300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Срок службы, лет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25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15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Обслуживание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 xml:space="preserve">Остановка после каждой 1000 часов работы, замена </w:t>
            </w:r>
            <w:r w:rsidRPr="002E4699">
              <w:rPr>
                <w:color w:val="auto"/>
              </w:rPr>
              <w:lastRenderedPageBreak/>
              <w:t>масла, свечей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lastRenderedPageBreak/>
              <w:t>Остановка после каждых 2000 часов работы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lastRenderedPageBreak/>
              <w:t>Моторное масло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Средний расход масла на угар составляет 0.2 гр./ кВтч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Нет необходимости в применении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proofErr w:type="spellStart"/>
            <w:r w:rsidRPr="002E4699">
              <w:rPr>
                <w:color w:val="auto"/>
              </w:rPr>
              <w:t>Моторесурс</w:t>
            </w:r>
            <w:proofErr w:type="spellEnd"/>
            <w:r w:rsidRPr="002E4699">
              <w:rPr>
                <w:color w:val="auto"/>
              </w:rPr>
              <w:t>, часы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60 000 - 90 000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30 000 - 55 000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Ремонтопригодность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Капитальный ремонт проводится на месте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Капитальный ремонт проводится на заводе-изготовителе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Зависимость от внешних факторов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Увеличение температуры приводит к уменьшению КПД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Затраты на собственные нужды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proofErr w:type="gramStart"/>
            <w:r w:rsidRPr="002E4699">
              <w:rPr>
                <w:color w:val="auto"/>
              </w:rPr>
              <w:t>Минимизированы</w:t>
            </w:r>
            <w:proofErr w:type="gramEnd"/>
            <w:r w:rsidRPr="002E4699">
              <w:rPr>
                <w:color w:val="auto"/>
              </w:rPr>
              <w:t>, так как не требуется установка компрессора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Существуют дополнительные затраты на компрессор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Занимаемая площадь мм</w:t>
            </w:r>
            <w:proofErr w:type="gramStart"/>
            <w:r w:rsidRPr="002E4699">
              <w:rPr>
                <w:color w:val="auto"/>
              </w:rPr>
              <w:t>2</w:t>
            </w:r>
            <w:proofErr w:type="gramEnd"/>
            <w:r w:rsidRPr="002E4699">
              <w:rPr>
                <w:color w:val="auto"/>
              </w:rPr>
              <w:t>/кВт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6000 - 9000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2600 - 4000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 xml:space="preserve">Масса, </w:t>
            </w:r>
            <w:proofErr w:type="gramStart"/>
            <w:r w:rsidRPr="002E4699">
              <w:rPr>
                <w:color w:val="auto"/>
              </w:rPr>
              <w:t>кг</w:t>
            </w:r>
            <w:proofErr w:type="gramEnd"/>
            <w:r w:rsidRPr="002E4699">
              <w:rPr>
                <w:color w:val="auto"/>
              </w:rPr>
              <w:t>/кВт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10-14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2-5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>Уровень шума, дБ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90-100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 xml:space="preserve">Влияние переменной нагрузки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Нежелательна долгая работа на нагрузках менее 50%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Работа на нагрузках менее 50% не влияет на состояние турбины</w:t>
            </w:r>
          </w:p>
        </w:tc>
      </w:tr>
      <w:tr w:rsidR="00A81C55" w:rsidRPr="002E4699" w:rsidTr="00A81C55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rPr>
                <w:color w:val="auto"/>
              </w:rPr>
            </w:pPr>
            <w:r w:rsidRPr="002E4699">
              <w:rPr>
                <w:color w:val="auto"/>
              </w:rPr>
              <w:t xml:space="preserve">Падение напряжения и время восстановления после 50% </w:t>
            </w:r>
            <w:proofErr w:type="spellStart"/>
            <w:r w:rsidRPr="002E4699">
              <w:rPr>
                <w:color w:val="auto"/>
              </w:rPr>
              <w:t>наброса</w:t>
            </w:r>
            <w:proofErr w:type="spellEnd"/>
            <w:r w:rsidRPr="002E4699">
              <w:rPr>
                <w:color w:val="auto"/>
              </w:rPr>
              <w:t xml:space="preserve"> нагрузки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22%</w:t>
            </w:r>
          </w:p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8 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40%</w:t>
            </w:r>
          </w:p>
          <w:p w:rsidR="00A81C55" w:rsidRPr="002E4699" w:rsidRDefault="00A81C55" w:rsidP="00A81C55">
            <w:pPr>
              <w:pStyle w:val="a6"/>
              <w:jc w:val="center"/>
              <w:rPr>
                <w:color w:val="auto"/>
              </w:rPr>
            </w:pPr>
            <w:r w:rsidRPr="002E4699">
              <w:rPr>
                <w:color w:val="auto"/>
              </w:rPr>
              <w:t>38 с</w:t>
            </w:r>
          </w:p>
        </w:tc>
      </w:tr>
    </w:tbl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68A" w:rsidRPr="002E4699" w:rsidRDefault="00A81C55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4699">
        <w:rPr>
          <w:noProof/>
          <w:szCs w:val="24"/>
          <w:lang w:eastAsia="ru-RU"/>
        </w:rPr>
        <w:drawing>
          <wp:inline distT="0" distB="0" distL="0" distR="0">
            <wp:extent cx="3344334" cy="220822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334" cy="22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68A" w:rsidRPr="002E4699" w:rsidRDefault="00CB568A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1. </w:t>
      </w:r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Зависимость КПД от типа и мощности установок [3]</w:t>
      </w:r>
    </w:p>
    <w:p w:rsidR="00CB568A" w:rsidRPr="002E4699" w:rsidRDefault="00CB568A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данных приведенных о технических характеристиках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когенерационного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оборудования, можно сделать вывод, что при своих малых размерах, большей продолжительности непрерывной работы, отсутствием расхода масла и при отсутствии износа турбины при работе менее чем на 50%, ГТУ обладает рядом показателей, уступающих ГПУ, а именно меньшим КПД, большим расходом топлива,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менышим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сроком службы, меньшим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моторесурсом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особенностями капитального ремонта (только на заводе изготовителе), снижением КПД при увеличении температуры, дополнительных затратах на компрессор, большим уровнем шума.[4] 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вопрос выбора конкретных технологий зависит от решаемых задач мест формирования мини-ТЭЦ. При этом, важным вопросом является задача определения приоритетов развития </w:t>
      </w:r>
      <w:proofErr w:type="gram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мини-ТЭЦ</w:t>
      </w:r>
      <w:proofErr w:type="gram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элементов нового строительства, так и основанных на трансформации котельных.</w:t>
      </w:r>
    </w:p>
    <w:p w:rsidR="00795D63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Современные темпы развития объектов распределённой энергетики (ОРЭ) представлены на рисунке 2.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4699">
        <w:rPr>
          <w:noProof/>
          <w:szCs w:val="24"/>
          <w:lang w:eastAsia="ru-RU"/>
        </w:rPr>
        <w:drawing>
          <wp:inline distT="0" distB="0" distL="0" distR="0">
            <wp:extent cx="3900669" cy="217818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510" cy="218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2. Прогнозируемые темпы развития ОРЭ в России [5]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проведенный анализ процесса управления развитием распределенной энергетики в России позволяет говорить об отсутствии комплексного подхода, что ведет к неуправляемости, нерегулируемости и не прогнозируемости развития распределенной энергетики, что определяет актуальности разработки программ развития распределенной энергетики. 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Целесообразность развития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когенерации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различных субъектах России неодинакова в силу различных причин: структура и состав тепловой и электрической нагрузки, структура и состав генерирующего оборудования, топливно-энергетический ландшафт территории, экономическая доступность тепло- и электроснабжения и другие.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важной задачей становится определение потенциалов развития мини-ТЭЦ в регионах и отдельных муниципальных образованиях, что будет являться задачей будущих исследований.</w:t>
      </w:r>
    </w:p>
    <w:p w:rsidR="00BD455C" w:rsidRPr="002E4699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E46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A81C55" w:rsidRPr="002E4699" w:rsidRDefault="005F2B12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bookmarkEnd w:id="0"/>
      <w:proofErr w:type="spellStart"/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Когенерационные</w:t>
      </w:r>
      <w:proofErr w:type="spellEnd"/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газопоршневые</w:t>
      </w:r>
      <w:proofErr w:type="spellEnd"/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ТЭЦ </w:t>
      </w:r>
      <w:r w:rsidR="00A81C55" w:rsidRPr="002E46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MWM</w:t>
      </w:r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Доступ </w:t>
      </w:r>
      <w:proofErr w:type="spellStart"/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A81C55" w:rsidRPr="002E4699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http://ges-ukraine.com/maininfo_20.html</w:t>
        </w:r>
      </w:hyperlink>
      <w:r w:rsidR="00A81C55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обращения 14.04.2023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proofErr w:type="spellStart"/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Буланин</w:t>
      </w:r>
      <w:proofErr w:type="spellEnd"/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Использование газовых турбин для комбинированного производства энергии // Сантехника, Отопление, Кондиционирование, №3, 2020. Доступ </w:t>
      </w:r>
      <w:proofErr w:type="spellStart"/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="00DD6FA2" w:rsidRPr="002E4699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https://www.c-o-k.ru/articles/ispolzovanie-gazovyh-turbin-dlya-kombinirovannogo-proizvodstva-energii</w:t>
        </w:r>
      </w:hyperlink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обращения: 14.04.2023.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Дильман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М.Д, Филиппов С.П., Ионов М.С. Проблемы и перспективы использования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когенерационных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 при реконструкции систем теплоснабжения. Экспертно-аналитический доклад. Институт энергетических исследований Российской академии наук.</w:t>
      </w:r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2013</w:t>
      </w:r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</w:t>
      </w:r>
      <w:proofErr w:type="gram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1C5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Зысин Л.В. Парогазовые и газотурбинные установки. Санкт-Петербургский государственный политехнический университет, 2010, 376 с </w:t>
      </w:r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</w:t>
      </w:r>
      <w:proofErr w:type="spellStart"/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https://elib.spbstu.ru/dl/2966.pdf/download/2966.pdf</w:t>
      </w:r>
    </w:p>
    <w:p w:rsidR="00F52805" w:rsidRPr="002E4699" w:rsidRDefault="00A81C55" w:rsidP="00A81C5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Чаусов Д.,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Бокарев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Б.,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Сибиров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Активные энергетические комплексы – первый шаг к </w:t>
      </w:r>
      <w:proofErr w:type="gram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промышленным</w:t>
      </w:r>
      <w:proofErr w:type="gram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микрогридам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России. Экспертно-аналитический доклад. М.: Инфраструктурный центр </w:t>
      </w:r>
      <w:proofErr w:type="spellStart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Энерджинет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2020. 56 с. </w:t>
      </w:r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</w:t>
      </w:r>
      <w:proofErr w:type="spellStart"/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9" w:history="1">
        <w:r w:rsidR="00DD6FA2" w:rsidRPr="002E4699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https://drive.google.com/file/d/1PwyNY</w:t>
        </w:r>
        <w:r w:rsidR="00DD6FA2" w:rsidRPr="002E4699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s</w:t>
        </w:r>
        <w:r w:rsidR="00DD6FA2" w:rsidRPr="002E4699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kwbaES_5oE3utFDDOnbucosZ0q/view</w:t>
        </w:r>
      </w:hyperlink>
      <w:r w:rsidR="00DD6FA2"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обращения: 14.12.2021</w:t>
      </w:r>
      <w:r w:rsidRPr="002E46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52805" w:rsidRPr="002E4699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4736"/>
    <w:rsid w:val="001247DB"/>
    <w:rsid w:val="001C2BB5"/>
    <w:rsid w:val="002B7A61"/>
    <w:rsid w:val="002C6E06"/>
    <w:rsid w:val="002E1FB6"/>
    <w:rsid w:val="002E4699"/>
    <w:rsid w:val="003D55C5"/>
    <w:rsid w:val="00441509"/>
    <w:rsid w:val="005F2B12"/>
    <w:rsid w:val="00606F95"/>
    <w:rsid w:val="00795D63"/>
    <w:rsid w:val="00832A47"/>
    <w:rsid w:val="00A81C55"/>
    <w:rsid w:val="00AC19B5"/>
    <w:rsid w:val="00B10E82"/>
    <w:rsid w:val="00B32C42"/>
    <w:rsid w:val="00B4597F"/>
    <w:rsid w:val="00B45C2B"/>
    <w:rsid w:val="00B74959"/>
    <w:rsid w:val="00BD455C"/>
    <w:rsid w:val="00BF26F4"/>
    <w:rsid w:val="00C61396"/>
    <w:rsid w:val="00CB568A"/>
    <w:rsid w:val="00D84736"/>
    <w:rsid w:val="00DD6FA2"/>
    <w:rsid w:val="00F5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  <w:style w:type="paragraph" w:customStyle="1" w:styleId="a6">
    <w:name w:val="внутри таблицы"/>
    <w:basedOn w:val="a"/>
    <w:link w:val="a7"/>
    <w:qFormat/>
    <w:rsid w:val="00A81C55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внутри таблицы Знак"/>
    <w:basedOn w:val="a0"/>
    <w:link w:val="a6"/>
    <w:rsid w:val="00A81C55"/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A81C5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D6FA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-o-k.ru/articles/ispolzovanie-gazovyh-turbin-dlya-kombinirovannogo-proizvodstva-energi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es-ukraine.com/maininfo_2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PwyNYskwbaES_5oE3utFDDOnbucosZ0q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2023-04-12T02:45:00Z</dcterms:created>
  <dcterms:modified xsi:type="dcterms:W3CDTF">2023-04-12T03:06:00Z</dcterms:modified>
</cp:coreProperties>
</file>