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5B5" w:rsidRPr="00595803" w:rsidRDefault="00AF15B5" w:rsidP="00AF15B5">
      <w:pPr>
        <w:spacing w:after="0" w:line="240" w:lineRule="auto"/>
        <w:jc w:val="center"/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95803"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Новые тренды </w:t>
      </w:r>
      <w:proofErr w:type="spellStart"/>
      <w:r w:rsidRPr="00595803"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>цифровизации</w:t>
      </w:r>
      <w:proofErr w:type="spellEnd"/>
      <w:r w:rsidRPr="00595803"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государственного сектора России</w:t>
      </w:r>
    </w:p>
    <w:p w:rsidR="00AF15B5" w:rsidRPr="00AF15B5" w:rsidRDefault="00AF15B5" w:rsidP="00AF15B5">
      <w:pPr>
        <w:spacing w:after="0" w:line="240" w:lineRule="auto"/>
        <w:jc w:val="center"/>
        <w:rPr>
          <w:rStyle w:val="mw-headline"/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595803"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>(</w:t>
      </w:r>
      <w:r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>н</w:t>
      </w:r>
      <w:r w:rsidRPr="00595803">
        <w:rPr>
          <w:rStyle w:val="mw-headline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а примере </w:t>
      </w:r>
      <w:r w:rsidRPr="00AF15B5">
        <w:rPr>
          <w:rStyle w:val="a6"/>
          <w:rFonts w:ascii="Times New Roman" w:hAnsi="Times New Roman"/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компонуемых государственных платформ)</w:t>
      </w:r>
    </w:p>
    <w:p w:rsidR="00AF15B5" w:rsidRPr="00595803" w:rsidRDefault="00AF15B5" w:rsidP="00AF15B5">
      <w:pPr>
        <w:spacing w:after="0" w:line="240" w:lineRule="auto"/>
        <w:jc w:val="center"/>
        <w:rPr>
          <w:rFonts w:ascii="Times New Roman" w:hAnsi="Times New Roman"/>
          <w:b/>
          <w:i/>
          <w:iCs/>
          <w:color w:val="000000" w:themeColor="text1"/>
          <w:sz w:val="24"/>
          <w:szCs w:val="28"/>
        </w:rPr>
      </w:pPr>
      <w:r w:rsidRPr="00595803">
        <w:rPr>
          <w:rFonts w:ascii="Times New Roman" w:hAnsi="Times New Roman"/>
          <w:b/>
          <w:i/>
          <w:iCs/>
          <w:color w:val="000000" w:themeColor="text1"/>
          <w:sz w:val="24"/>
          <w:szCs w:val="28"/>
        </w:rPr>
        <w:t>Дмитриев К.О.</w:t>
      </w:r>
    </w:p>
    <w:p w:rsidR="00AF15B5" w:rsidRPr="00595803" w:rsidRDefault="00AF15B5" w:rsidP="00AF15B5">
      <w:pPr>
        <w:spacing w:after="0" w:line="240" w:lineRule="auto"/>
        <w:jc w:val="center"/>
        <w:rPr>
          <w:rFonts w:ascii="Times New Roman" w:hAnsi="Times New Roman"/>
          <w:bCs/>
          <w:i/>
          <w:iCs/>
          <w:color w:val="000000" w:themeColor="text1"/>
          <w:sz w:val="24"/>
          <w:szCs w:val="28"/>
        </w:rPr>
      </w:pPr>
      <w:r w:rsidRPr="00595803">
        <w:rPr>
          <w:rFonts w:ascii="Times New Roman" w:hAnsi="Times New Roman"/>
          <w:bCs/>
          <w:i/>
          <w:iCs/>
          <w:color w:val="000000" w:themeColor="text1"/>
          <w:sz w:val="24"/>
          <w:szCs w:val="28"/>
        </w:rPr>
        <w:t>Студент</w:t>
      </w:r>
    </w:p>
    <w:p w:rsidR="00AF15B5" w:rsidRPr="00595803" w:rsidRDefault="00AF15B5" w:rsidP="00AF15B5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 w:themeColor="text1"/>
          <w:sz w:val="24"/>
          <w:szCs w:val="28"/>
        </w:rPr>
      </w:pPr>
      <w:r w:rsidRPr="00595803">
        <w:rPr>
          <w:rFonts w:ascii="Times New Roman" w:eastAsia="Times New Roman" w:hAnsi="Times New Roman"/>
          <w:i/>
          <w:color w:val="000000" w:themeColor="text1"/>
          <w:sz w:val="24"/>
          <w:szCs w:val="28"/>
        </w:rPr>
        <w:t>Сибирский институт управления – филиал Российской академии народного хозяйства и государственной службы при Президенте Российской Федерации, г. Новосибирск, Россия</w:t>
      </w:r>
    </w:p>
    <w:p w:rsidR="00AF15B5" w:rsidRPr="00595803" w:rsidRDefault="00AF15B5" w:rsidP="00AF1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</w:pPr>
      <w:r w:rsidRPr="00595803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E-mail: </w:t>
      </w:r>
      <w:hyperlink r:id="rId4" w:history="1">
        <w:r w:rsidRPr="00595803">
          <w:rPr>
            <w:rStyle w:val="a4"/>
            <w:rFonts w:ascii="Times New Roman" w:hAnsi="Times New Roman"/>
            <w:i/>
            <w:color w:val="000000" w:themeColor="text1"/>
            <w:sz w:val="24"/>
            <w:szCs w:val="24"/>
            <w:lang w:val="en-US"/>
          </w:rPr>
          <w:t>kdmitriev-20@edu.ranepa.ru</w:t>
        </w:r>
      </w:hyperlink>
      <w:r w:rsidRPr="00595803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</w:t>
      </w:r>
    </w:p>
    <w:p w:rsidR="00AF15B5" w:rsidRPr="00595803" w:rsidRDefault="00AF15B5" w:rsidP="00AF15B5">
      <w:pPr>
        <w:spacing w:after="0" w:line="240" w:lineRule="auto"/>
        <w:jc w:val="center"/>
        <w:rPr>
          <w:rStyle w:val="mw-headline"/>
          <w:rFonts w:ascii="Times New Roman" w:hAnsi="Times New Roman"/>
          <w:color w:val="000000" w:themeColor="text1"/>
          <w:sz w:val="24"/>
          <w:szCs w:val="36"/>
          <w:lang w:val="en-US"/>
        </w:rPr>
      </w:pP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Цифровая эпоха развивается с беспрецедентной скоростью, особенно сейчас, когда пандемия подчеркнула важность адаптации к быстрым изменениям. Внедрение компонуемой архитектуры предприятия является необходимой трансформацией для государственных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организаций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поскольку она обеспечивает повышенную гибкость, устойчивость и оперативность в удовлетворении меняющихся требований. </w:t>
      </w:r>
      <w:r w:rsidR="00280D0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</w:t>
      </w:r>
      <w:bookmarkStart w:id="0" w:name="_GoBack"/>
      <w:bookmarkEnd w:id="0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ассматривая главные тренды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цифровизации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госсектора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как раз стоит остановиться именно на таком тренде как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переход к 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государственны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компонуемы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платформ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ам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В связи с увеличением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государственных 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запросов на критически важные ИТ-системы, от ИТ сектора требуется всё более нов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ая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архитектур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решений и переменного лицензирования, котор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ы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 и буд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т являться основой для поддержания компонуемого подхода к проектированию. Данный подход позволяет государству сосредоточиться именно на тех услугах, которые ориентированы на граждан, а не на часто используемом разрозненном программно-ориентированном подходе. И </w:t>
      </w:r>
      <w:r w:rsidRPr="00AF15B5">
        <w:rPr>
          <w:rStyle w:val="a6"/>
          <w:rFonts w:ascii="Times New Roman" w:hAnsi="Times New Roman"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компонуемые государственные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платформы демонстрируют нам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компонуемость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именно в трех критически важных направлениях: бизнес-архитектура, технологии и мышление. Ведь в настоящее время многие бизнес-процессы используют онлайн-технологии, основанные на аналитике данных, социальных сетях, облаке и API (интерфейсе прикладного программирования). Эти платформы позволяют организациям реагировать на растущие потребности, искать дополнительные источники дохода, предлагать более широкий спектр продуктов и услуг и идти в ногу с рыночными тенденциями.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Внедрение передовых технологий и достижение новых </w:t>
      </w:r>
      <w:r>
        <w:rPr>
          <w:rFonts w:ascii="Times New Roman" w:hAnsi="Times New Roman"/>
          <w:color w:val="000000" w:themeColor="text1"/>
          <w:sz w:val="24"/>
          <w:szCs w:val="24"/>
        </w:rPr>
        <w:t>результатов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требует переосмысления бизнес-модел</w:t>
      </w:r>
      <w:r>
        <w:rPr>
          <w:rFonts w:ascii="Times New Roman" w:hAnsi="Times New Roman"/>
          <w:color w:val="000000" w:themeColor="text1"/>
          <w:sz w:val="24"/>
          <w:szCs w:val="24"/>
        </w:rPr>
        <w:t>ей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и добавления более совершенных компонентов в устаревшие системы, другими словами, внедрения компонуемой корпоративной архитектуры. Это позволит государственным организациям иметь ИТ-платформу, которая повысит их устойчивость и гибкость, чтобы использовать возможности в быстро развивающуюся эпоху. Компонуемое предприятие — это бизнес, который использует экономику API для разбивки бизнес-компонентов на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микросервисы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или пакетные бизнес-возможности (PBC). Модель в значительной степени отказывается от одиночных крупных приложений и использует модульные процедуры для соответствия конкретным бизнес-процессам. 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Рассматривая компонуемые государственные платформы, стоит остановится на определении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компонуемости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— ведь это нечто большее, чем просто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цифровизация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. В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компонуемости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есть три ключевых принципа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о которых мы говорили ранее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. Первый принцип, выделяемый экспертами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– это компонуемое мышление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Д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анный принцип включает в себя непрерывное исследование и создание революционных бизнес-возможностей за счет сборки и повторной сборки компонентов для удовлетворения растущих потребностей участников. Организация, которая практикует компонуемое мышление, использует адаптивный подход — принимает и исследует неопределенность, вовлекая всех в стратегическое планирование, — чтобы лучше реагировать на быстрые изменения в режиме реального времени. В основе компонуемого мышления лежит автономия менеджеров и линейного персонала, которым предоставляется свобода принимать обоснованные, независимые решения в рамках установленных руководящих принципов. Однако здесь существует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следующая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проблема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75FEB">
        <w:rPr>
          <w:rFonts w:ascii="Times New Roman" w:hAnsi="Times New Roman"/>
          <w:color w:val="000000" w:themeColor="text1"/>
          <w:sz w:val="24"/>
          <w:szCs w:val="24"/>
        </w:rPr>
        <w:t xml:space="preserve">—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поддержани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культуры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высокого доверия противоречит иерархическому характеру принятия решений. Это не только создает </w:t>
      </w:r>
      <w:r>
        <w:rPr>
          <w:rFonts w:ascii="Times New Roman" w:hAnsi="Times New Roman"/>
          <w:color w:val="000000" w:themeColor="text1"/>
          <w:sz w:val="24"/>
          <w:szCs w:val="24"/>
        </w:rPr>
        <w:t>трудности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для расширения прав и возможностей отдельных лиц, принимающих решения, но и затрудняет расширение возможностей команд.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Второй принцип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компонуемости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- компонуемая бизнес-архитектура, которая включает в себя динамически развивающиеся возможности, продукты, команды, процессы и услуги, которые направлены на создания новой ценности. Применение компонуемой бизнес-архитектуры позволяет правительству адаптироваться к меняющимся потребностям в услугах и эффективно реагировать на изменения в законодательстве. Организации, владеющие этой формой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компонуемости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>, часто формируют многопрофильные, подотчетные и сплоченные команды.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И третий принцип– это компонуемые технологии, используя которые, правительственные организации могут обеспечить для себя еще большую гибкость в том, как они реагируют на потребности своих граждан. 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>Для такого чтобы понять, что же такое компонуемое правительство стоит представить себе блочный конструктор. В котором кажд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PBC представляет собой полнофункциональный блок, который может подключаться к другим блокам в структуре, выполняя свою работу полноценно, однако он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слабо связан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с другими блоками, тем самым они не влияют на работу друг друга. Также стоит отметить и то, что каждый компонент имеет специализированную функцию, принимая входные данные от других компонентов, выполняя свою работу с этими входными данными, а затем передавая выходные данные другим. Это решение электронного правительства, которое помогает государственным организациям отказаться от устаревших </w:t>
      </w:r>
      <w:r>
        <w:rPr>
          <w:rFonts w:ascii="Times New Roman" w:hAnsi="Times New Roman"/>
          <w:color w:val="000000" w:themeColor="text1"/>
          <w:sz w:val="24"/>
          <w:szCs w:val="24"/>
        </w:rPr>
        <w:t>технологий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и удовлетворить новые требования. Многие компании по-прежнему придерживаются монолитных устаревших приложений, которые не очень хорошо работают во все более цифровом мире. В результате они остаются статичными и неэффективными,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стоновясь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неспособными принимать быстрые решения на основе данных. С другой стороны, компонуемые предприятия и организации могут использовать процессы независимо, делая своевременный выбор, который влияет на конкретные бизнес-компоненты или всю организацию. Данная платформа определяет свои рабочие процессы и в идеале разбивает их на мельчайшие компоненты. Например, рабочий процесс управления делами благодаря платформе можно разбивать на «прием», «проверку», «проверку» и «разрешение». Каждый из этих блоков является PBC. И так как они являются отдельными компонентами, то кажд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PBC может быть подключен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к другим PBC по мере необходимости.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>Хорошим примером компонуемой государственной платформы в российском ИТ-секторе выступает супер-сервис «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Госуслуги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», а точнее реестр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 портал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государственных услуг, на основе котор</w:t>
      </w:r>
      <w:r>
        <w:rPr>
          <w:rFonts w:ascii="Times New Roman" w:hAnsi="Times New Roman"/>
          <w:color w:val="000000" w:themeColor="text1"/>
          <w:sz w:val="24"/>
          <w:szCs w:val="24"/>
        </w:rPr>
        <w:t>ых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и функционирует супер-сервис. Открыв сайт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</w:rPr>
        <w:t>госуслуг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</w:rPr>
        <w:t>, мы можем четко увидеть, что услуги, предоставляемые государством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разбиты на крупные блоки, которы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подключены друг к другу в структуре супер-сервиса, и каждый из них выполняет свою работу в полном объёме, но при этом они слабо связаны с другими блоками. Например, блок услуг здравоохранения и блок услуг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предоставляемых МВД России, это совершенно </w:t>
      </w:r>
      <w:r>
        <w:rPr>
          <w:rFonts w:ascii="Times New Roman" w:hAnsi="Times New Roman"/>
          <w:color w:val="000000" w:themeColor="text1"/>
          <w:sz w:val="24"/>
          <w:szCs w:val="24"/>
        </w:rPr>
        <w:t>несвязанные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блоки, но при этом они находятся на базе одной платформы и функционируют в полном объеме.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</w:rPr>
        <w:t>Однако здесь стоит сказать о том, что на современном ИТ рынке России в чистом виде нет таких компонуемых государственных платформ, которые обладали бы живыми компонентами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од «живыми» подразумевается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что блоки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проживают жизненный цикл: 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создаются, компонуются с другими компонентами, используются в различных продуктах, обновляются и, в итоге, устаревают или заменяются. Решением такой проблемы может выступ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ть активное финансирование отечественных разработчиков, которые могут создать такие платформы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апример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как государство в один из моментов доверило создание центров управления регионами </w:t>
      </w:r>
      <w:r>
        <w:rPr>
          <w:rFonts w:ascii="Times New Roman" w:hAnsi="Times New Roman"/>
          <w:color w:val="000000" w:themeColor="text1"/>
          <w:sz w:val="24"/>
          <w:szCs w:val="24"/>
        </w:rPr>
        <w:t>АНО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«Диалог», и данные центры показывают достаточно эффективную деятельность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К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роме того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можно обратиться и наработкам в данной сфере союзных для России государств.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Open Sans" w:hAnsi="Open Sans" w:cs="Open Sans"/>
          <w:color w:val="000000" w:themeColor="text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С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>тоит еще раз четко определить преимущества компонуемых государственных платформ. Первое преимущество, это то, что при правильном проектировании один компонент можно использовать в нескольких процессах. Например, если процесс приема различных заявок на получение разрешений в основном одинаков, его можно сделать стандартизированн</w:t>
      </w:r>
      <w:r>
        <w:rPr>
          <w:rFonts w:ascii="Times New Roman" w:hAnsi="Times New Roman"/>
          <w:color w:val="000000" w:themeColor="text1"/>
          <w:sz w:val="24"/>
          <w:szCs w:val="24"/>
        </w:rPr>
        <w:t>ой</w:t>
      </w:r>
      <w:r w:rsidRPr="000B5B15">
        <w:rPr>
          <w:rFonts w:ascii="Times New Roman" w:hAnsi="Times New Roman"/>
          <w:color w:val="000000" w:themeColor="text1"/>
          <w:sz w:val="24"/>
          <w:szCs w:val="24"/>
        </w:rPr>
        <w:t xml:space="preserve"> PBC и повторно использовать его в других блоках платформы. Вторым преимуществом таких платформ является то, что можно изменить один компонент, не затрагивая другие.</w:t>
      </w:r>
      <w:r w:rsidRPr="000B5B15">
        <w:rPr>
          <w:rFonts w:ascii="Open Sans" w:hAnsi="Open Sans" w:cs="Open Sans"/>
          <w:color w:val="000000" w:themeColor="text1"/>
          <w:sz w:val="21"/>
          <w:szCs w:val="21"/>
          <w:shd w:val="clear" w:color="auto" w:fill="FFFFFF"/>
        </w:rPr>
        <w:t xml:space="preserve"> </w:t>
      </w:r>
    </w:p>
    <w:p w:rsidR="00AF15B5" w:rsidRPr="000B5B15" w:rsidRDefault="00AF15B5" w:rsidP="00AF15B5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Таким образом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можно сказать о том, что цифровое лидерство имеет важное значение для государственных организаций, ведь именно оно создает возможности, необходимые для </w:t>
      </w:r>
      <w:proofErr w:type="spellStart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компонуемости</w:t>
      </w:r>
      <w:proofErr w:type="spellEnd"/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Она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дает государственному сектору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возможность 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переосмыслени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я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государственных услуг для наиболее эффективно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й организации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их 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предоставления и укрепления доверия в глазах граждан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днако это требует четкого видения, представления об опыте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пользования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граждан платформ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ой</w:t>
      </w:r>
      <w:r w:rsidRPr="000B5B1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 эффективного поддержания управления платформой.</w:t>
      </w:r>
    </w:p>
    <w:p w:rsidR="00AF15B5" w:rsidRPr="00595803" w:rsidRDefault="00AF15B5" w:rsidP="00AF15B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F15B5" w:rsidRPr="00595803" w:rsidRDefault="00AF15B5" w:rsidP="00AF15B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F15B5" w:rsidRPr="00595803" w:rsidRDefault="00AF15B5" w:rsidP="00AF15B5">
      <w:pPr>
        <w:pStyle w:val="a3"/>
        <w:spacing w:before="0" w:beforeAutospacing="0" w:after="0" w:afterAutospacing="0" w:line="360" w:lineRule="auto"/>
        <w:ind w:firstLine="397"/>
        <w:jc w:val="center"/>
        <w:rPr>
          <w:b/>
          <w:bCs/>
          <w:color w:val="000000" w:themeColor="text1"/>
          <w:szCs w:val="36"/>
        </w:rPr>
      </w:pPr>
      <w:r w:rsidRPr="00595803">
        <w:rPr>
          <w:b/>
          <w:bCs/>
          <w:color w:val="000000" w:themeColor="text1"/>
          <w:szCs w:val="36"/>
        </w:rPr>
        <w:t>Список литературы</w:t>
      </w:r>
    </w:p>
    <w:p w:rsidR="00AF15B5" w:rsidRPr="00595803" w:rsidRDefault="00AF15B5" w:rsidP="00AF15B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5803">
        <w:rPr>
          <w:rFonts w:ascii="Times New Roman" w:hAnsi="Times New Roman"/>
          <w:color w:val="000000" w:themeColor="text1"/>
          <w:sz w:val="24"/>
          <w:szCs w:val="24"/>
        </w:rPr>
        <w:t>1. Указ Президента Российской Федерации от 01.05.2022 №166 «О мерах по обеспечению технологической независимости и безопасности критической информационной инфраструктуры».</w:t>
      </w:r>
    </w:p>
    <w:p w:rsidR="00AF15B5" w:rsidRPr="00595803" w:rsidRDefault="00AF15B5" w:rsidP="00AF15B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5803">
        <w:rPr>
          <w:rFonts w:ascii="Times New Roman" w:hAnsi="Times New Roman"/>
          <w:color w:val="000000" w:themeColor="text1"/>
          <w:sz w:val="24"/>
          <w:szCs w:val="24"/>
        </w:rPr>
        <w:t>2. Указ Президента Российской Федерации от 01.05.2022 №250 «О дополнительных мерах по обеспечению информационной безопасности Российской Федерации».</w:t>
      </w:r>
    </w:p>
    <w:p w:rsidR="00AF15B5" w:rsidRPr="00595803" w:rsidRDefault="00AF15B5" w:rsidP="00AF15B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95803">
        <w:rPr>
          <w:rFonts w:ascii="Times New Roman" w:hAnsi="Times New Roman"/>
          <w:color w:val="000000" w:themeColor="text1"/>
          <w:sz w:val="24"/>
          <w:szCs w:val="24"/>
        </w:rPr>
        <w:t xml:space="preserve">3. Перечень поручений Президента Российской Федерации по итогам заседания Совета по развитию местного самоуправления 30 января 2020 года </w:t>
      </w:r>
      <w:r w:rsidRPr="0059580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(утв. Президентом РФ 01.03.2020 № Пр-354).</w:t>
      </w:r>
    </w:p>
    <w:p w:rsidR="00AF15B5" w:rsidRPr="00595803" w:rsidRDefault="00AF15B5" w:rsidP="00AF15B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5803">
        <w:rPr>
          <w:rFonts w:ascii="Times New Roman" w:hAnsi="Times New Roman"/>
          <w:color w:val="000000" w:themeColor="text1"/>
          <w:sz w:val="24"/>
          <w:szCs w:val="24"/>
        </w:rPr>
        <w:t>4. Постановление Правительства РФ от 16.11.2020 № 1844 (ред. от 15.12.2022) «Об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«Диалог Регионы»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регионов».</w:t>
      </w:r>
    </w:p>
    <w:p w:rsidR="00AF15B5" w:rsidRPr="00595803" w:rsidRDefault="00AF15B5" w:rsidP="00AF15B5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5803">
        <w:rPr>
          <w:rFonts w:ascii="Times New Roman" w:hAnsi="Times New Roman"/>
          <w:color w:val="000000" w:themeColor="text1"/>
          <w:sz w:val="24"/>
          <w:szCs w:val="24"/>
        </w:rPr>
        <w:t>5. Постановлени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595803">
        <w:rPr>
          <w:rFonts w:ascii="Times New Roman" w:hAnsi="Times New Roman"/>
          <w:color w:val="000000" w:themeColor="text1"/>
          <w:sz w:val="24"/>
          <w:szCs w:val="24"/>
        </w:rPr>
        <w:t xml:space="preserve"> Правительства Российской Федерации от 28.08.2019 № 1114 «О проведении эксперимента по переводу информационных систем и информационных ресурсов федеральных органов исполнительной власти и государственных внебюджетных фондов в государственную единую облачную платформу, а также по обеспечению федеральных органов исполнительной власти и государственных внебюджетных фондов автоматизированными рабочими местами и программным обеспечением».</w:t>
      </w:r>
    </w:p>
    <w:p w:rsidR="00096B0B" w:rsidRDefault="00096B0B"/>
    <w:sectPr w:rsidR="00096B0B" w:rsidSect="00AF15B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5B5"/>
    <w:rsid w:val="00096B0B"/>
    <w:rsid w:val="00280D0C"/>
    <w:rsid w:val="00AF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9FB4"/>
  <w15:chartTrackingRefBased/>
  <w15:docId w15:val="{C5FC2993-3222-48EB-82E3-36ECEBFC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5B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w-headline">
    <w:name w:val="mw-headline"/>
    <w:basedOn w:val="a0"/>
    <w:rsid w:val="00AF15B5"/>
  </w:style>
  <w:style w:type="paragraph" w:styleId="a3">
    <w:name w:val="Normal (Web)"/>
    <w:basedOn w:val="a"/>
    <w:uiPriority w:val="99"/>
    <w:unhideWhenUsed/>
    <w:rsid w:val="00AF15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15B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F15B5"/>
    <w:pPr>
      <w:ind w:left="720"/>
      <w:contextualSpacing/>
    </w:pPr>
  </w:style>
  <w:style w:type="character" w:styleId="a6">
    <w:name w:val="Emphasis"/>
    <w:basedOn w:val="a0"/>
    <w:uiPriority w:val="20"/>
    <w:qFormat/>
    <w:rsid w:val="00AF15B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F1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15B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dmitriev-20@edu.ranep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Кирилл Олегович</dc:creator>
  <cp:keywords/>
  <dc:description/>
  <cp:lastModifiedBy>Дмитриев Кирилл Олегович</cp:lastModifiedBy>
  <cp:revision>1</cp:revision>
  <cp:lastPrinted>2023-04-27T04:28:00Z</cp:lastPrinted>
  <dcterms:created xsi:type="dcterms:W3CDTF">2023-04-27T04:26:00Z</dcterms:created>
  <dcterms:modified xsi:type="dcterms:W3CDTF">2023-04-27T04:51:00Z</dcterms:modified>
</cp:coreProperties>
</file>